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E0" w:rsidRDefault="00B469E0" w:rsidP="002915E4">
      <w:pPr>
        <w:ind w:left="0"/>
        <w:rPr>
          <w:rFonts w:ascii="Arial" w:hAnsi="Arial" w:cs="Arial"/>
          <w:sz w:val="28"/>
          <w:szCs w:val="28"/>
        </w:rPr>
      </w:pPr>
    </w:p>
    <w:p w:rsidR="00B469E0" w:rsidRDefault="00B469E0" w:rsidP="002915E4">
      <w:pPr>
        <w:ind w:left="0"/>
        <w:rPr>
          <w:rFonts w:ascii="Arial" w:hAnsi="Arial" w:cs="Arial"/>
          <w:sz w:val="28"/>
          <w:szCs w:val="28"/>
        </w:rPr>
      </w:pPr>
    </w:p>
    <w:p w:rsidR="00B469E0" w:rsidRDefault="00B469E0" w:rsidP="002915E4">
      <w:pPr>
        <w:ind w:left="0"/>
        <w:rPr>
          <w:rFonts w:ascii="Arial" w:hAnsi="Arial" w:cs="Arial"/>
          <w:sz w:val="28"/>
          <w:szCs w:val="28"/>
        </w:rPr>
      </w:pPr>
    </w:p>
    <w:p w:rsidR="00B469E0" w:rsidRPr="00BF473E" w:rsidRDefault="00B469E0" w:rsidP="002915E4">
      <w:pPr>
        <w:ind w:left="0"/>
        <w:rPr>
          <w:rFonts w:asciiTheme="minorHAnsi" w:hAnsiTheme="minorHAnsi" w:cstheme="minorHAnsi"/>
          <w:sz w:val="28"/>
          <w:szCs w:val="28"/>
        </w:rPr>
        <w:sectPr w:rsidR="00B469E0" w:rsidRPr="00BF473E" w:rsidSect="00C43E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242" w:right="1558" w:bottom="1417" w:left="1418" w:header="709" w:footer="709" w:gutter="0"/>
          <w:cols w:space="708"/>
          <w:docGrid w:linePitch="360"/>
        </w:sectPr>
      </w:pPr>
      <w:r w:rsidRPr="00BF473E">
        <w:rPr>
          <w:rFonts w:asciiTheme="minorHAnsi" w:hAnsiTheme="minorHAnsi" w:cstheme="minorHAnsi"/>
          <w:sz w:val="28"/>
          <w:szCs w:val="28"/>
        </w:rPr>
        <w:t xml:space="preserve">Praha, </w:t>
      </w:r>
      <w:r w:rsidR="006416F0">
        <w:rPr>
          <w:rFonts w:asciiTheme="minorHAnsi" w:hAnsiTheme="minorHAnsi" w:cstheme="minorHAnsi"/>
          <w:sz w:val="28"/>
          <w:szCs w:val="28"/>
        </w:rPr>
        <w:t>červen</w:t>
      </w:r>
      <w:r w:rsidRPr="00BF473E">
        <w:rPr>
          <w:rFonts w:asciiTheme="minorHAnsi" w:hAnsiTheme="minorHAnsi" w:cstheme="minorHAnsi"/>
          <w:sz w:val="28"/>
          <w:szCs w:val="28"/>
        </w:rPr>
        <w:t xml:space="preserve"> 201</w:t>
      </w:r>
      <w:r w:rsidR="006855A6" w:rsidRPr="00BF473E">
        <w:rPr>
          <w:rFonts w:asciiTheme="minorHAnsi" w:hAnsiTheme="minorHAnsi" w:cstheme="minorHAnsi"/>
          <w:sz w:val="28"/>
          <w:szCs w:val="28"/>
        </w:rPr>
        <w:t>5</w:t>
      </w:r>
    </w:p>
    <w:p w:rsidR="008156A1" w:rsidRDefault="00B469E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pacing w:val="0"/>
          <w:lang w:val="cs-CZ" w:eastAsia="cs-CZ"/>
        </w:rPr>
      </w:pPr>
      <w:r w:rsidRPr="00B864F7">
        <w:rPr>
          <w:b w:val="0"/>
          <w:bCs w:val="0"/>
          <w:caps w:val="0"/>
          <w:sz w:val="20"/>
          <w:szCs w:val="20"/>
          <w:lang w:val="cs-CZ"/>
        </w:rPr>
        <w:lastRenderedPageBreak/>
        <w:fldChar w:fldCharType="begin"/>
      </w:r>
      <w:r w:rsidRPr="00B864F7">
        <w:rPr>
          <w:b w:val="0"/>
          <w:bCs w:val="0"/>
          <w:caps w:val="0"/>
          <w:sz w:val="20"/>
          <w:szCs w:val="20"/>
          <w:lang w:val="cs-CZ"/>
        </w:rPr>
        <w:instrText xml:space="preserve"> TOC \o "1-3" \h \z </w:instrText>
      </w:r>
      <w:r w:rsidRPr="00B864F7">
        <w:rPr>
          <w:b w:val="0"/>
          <w:bCs w:val="0"/>
          <w:caps w:val="0"/>
          <w:sz w:val="20"/>
          <w:szCs w:val="20"/>
          <w:lang w:val="cs-CZ"/>
        </w:rPr>
        <w:fldChar w:fldCharType="separate"/>
      </w:r>
      <w:hyperlink w:anchor="_Toc419970715" w:history="1">
        <w:r w:rsidR="008156A1" w:rsidRPr="00F3054E">
          <w:rPr>
            <w:rStyle w:val="Hypertextovodkaz"/>
            <w:rFonts w:cstheme="minorHAnsi"/>
          </w:rPr>
          <w:t>1.</w:t>
        </w:r>
        <w:r w:rsidR="008156A1">
          <w:rPr>
            <w:rFonts w:asciiTheme="minorHAnsi" w:eastAsiaTheme="minorEastAsia" w:hAnsiTheme="minorHAnsi" w:cstheme="minorBidi"/>
            <w:b w:val="0"/>
            <w:bCs w:val="0"/>
            <w:caps w:val="0"/>
            <w:spacing w:val="0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Úvod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_Toc419970715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3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pacing w:val="0"/>
          <w:lang w:val="cs-CZ" w:eastAsia="cs-CZ"/>
        </w:rPr>
      </w:pPr>
      <w:hyperlink w:anchor="_Toc419970716" w:history="1">
        <w:r w:rsidR="008156A1" w:rsidRPr="00F3054E">
          <w:rPr>
            <w:rStyle w:val="Hypertextovodkaz"/>
            <w:rFonts w:cstheme="minorHAnsi"/>
          </w:rPr>
          <w:t>2.</w:t>
        </w:r>
        <w:r w:rsidR="008156A1">
          <w:rPr>
            <w:rFonts w:asciiTheme="minorHAnsi" w:eastAsiaTheme="minorEastAsia" w:hAnsiTheme="minorHAnsi" w:cstheme="minorBidi"/>
            <w:b w:val="0"/>
            <w:bCs w:val="0"/>
            <w:caps w:val="0"/>
            <w:spacing w:val="0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Systém monitoringu spotřeby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_Toc419970716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4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17" w:history="1">
        <w:r w:rsidR="008156A1" w:rsidRPr="00F3054E">
          <w:rPr>
            <w:rStyle w:val="Hypertextovodkaz"/>
            <w:rFonts w:cstheme="minorHAnsi"/>
          </w:rPr>
          <w:t>2.1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Provoz systému v roce 2014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_Toc419970717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4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pacing w:val="0"/>
          <w:lang w:val="cs-CZ" w:eastAsia="cs-CZ"/>
        </w:rPr>
      </w:pPr>
      <w:hyperlink w:anchor="_Toc419970718" w:history="1">
        <w:r w:rsidR="008156A1" w:rsidRPr="00F3054E">
          <w:rPr>
            <w:rStyle w:val="Hypertextovodkaz"/>
            <w:rFonts w:cstheme="minorHAnsi"/>
          </w:rPr>
          <w:t>3.</w:t>
        </w:r>
        <w:r w:rsidR="008156A1">
          <w:rPr>
            <w:rFonts w:asciiTheme="minorHAnsi" w:eastAsiaTheme="minorEastAsia" w:hAnsiTheme="minorHAnsi" w:cstheme="minorBidi"/>
            <w:b w:val="0"/>
            <w:bCs w:val="0"/>
            <w:caps w:val="0"/>
            <w:spacing w:val="0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Analýza monitorovaných dat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_Toc419970718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5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19" w:history="1">
        <w:r w:rsidR="008156A1" w:rsidRPr="00F3054E">
          <w:rPr>
            <w:rStyle w:val="Hypertextovodkaz"/>
            <w:rFonts w:cstheme="minorHAnsi"/>
          </w:rPr>
          <w:t>3.1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Spotřeba energie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_Toc419970719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5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20" w:history="1">
        <w:r w:rsidR="008156A1" w:rsidRPr="00F3054E">
          <w:rPr>
            <w:rStyle w:val="Hypertextovodkaz"/>
            <w:rFonts w:cstheme="minorHAnsi"/>
          </w:rPr>
          <w:t>3.2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Ceny energie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_Toc419970720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6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21" w:history="1">
        <w:r w:rsidR="008156A1" w:rsidRPr="00F3054E">
          <w:rPr>
            <w:rStyle w:val="Hypertextovodkaz"/>
            <w:rFonts w:cstheme="minorHAnsi"/>
          </w:rPr>
          <w:t>3.3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Náklady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_Toc419970721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6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22" w:history="1">
        <w:r w:rsidR="008156A1" w:rsidRPr="00F3054E">
          <w:rPr>
            <w:rStyle w:val="Hypertextovodkaz"/>
            <w:rFonts w:cstheme="minorHAnsi"/>
          </w:rPr>
          <w:t>3.4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Palivová základna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_Toc419970722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7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23" w:history="1">
        <w:r w:rsidR="008156A1" w:rsidRPr="00F3054E">
          <w:rPr>
            <w:rStyle w:val="Hypertextovodkaz"/>
            <w:rFonts w:cstheme="minorHAnsi"/>
          </w:rPr>
          <w:t>3.5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Měrné ukazatele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_Toc419970723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8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pacing w:val="0"/>
          <w:lang w:val="cs-CZ" w:eastAsia="cs-CZ"/>
        </w:rPr>
      </w:pPr>
      <w:hyperlink w:anchor="_Toc419970724" w:history="1">
        <w:r w:rsidR="008156A1" w:rsidRPr="00F3054E">
          <w:rPr>
            <w:rStyle w:val="Hypertextovodkaz"/>
            <w:rFonts w:cstheme="minorHAnsi"/>
          </w:rPr>
          <w:t>4.</w:t>
        </w:r>
        <w:r w:rsidR="008156A1">
          <w:rPr>
            <w:rFonts w:asciiTheme="minorHAnsi" w:eastAsiaTheme="minorEastAsia" w:hAnsiTheme="minorHAnsi" w:cstheme="minorBidi"/>
            <w:b w:val="0"/>
            <w:bCs w:val="0"/>
            <w:caps w:val="0"/>
            <w:spacing w:val="0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Souhrn dosažených výsledků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_Toc419970724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8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2"/>
        <w:rPr>
          <w:rFonts w:asciiTheme="minorHAnsi" w:eastAsiaTheme="minorEastAsia" w:hAnsiTheme="minorHAnsi" w:cstheme="minorBidi"/>
          <w:spacing w:val="0"/>
          <w:sz w:val="22"/>
          <w:szCs w:val="22"/>
          <w:lang w:val="cs-CZ" w:eastAsia="cs-CZ"/>
        </w:rPr>
      </w:pPr>
      <w:hyperlink w:anchor="_Toc419970725" w:history="1">
        <w:r w:rsidR="008156A1" w:rsidRPr="00F3054E">
          <w:rPr>
            <w:rStyle w:val="Hypertextovodkaz"/>
            <w:rFonts w:cstheme="minorHAnsi"/>
          </w:rPr>
          <w:t>4.1</w:t>
        </w:r>
        <w:r w:rsidR="008156A1">
          <w:rPr>
            <w:rFonts w:asciiTheme="minorHAnsi" w:eastAsiaTheme="minorEastAsia" w:hAnsiTheme="minorHAnsi" w:cstheme="minorBidi"/>
            <w:spacing w:val="0"/>
            <w:sz w:val="22"/>
            <w:szCs w:val="22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Úsporná opatření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_Toc419970725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8</w:t>
        </w:r>
        <w:r w:rsidR="008156A1">
          <w:rPr>
            <w:webHidden/>
          </w:rPr>
          <w:fldChar w:fldCharType="end"/>
        </w:r>
      </w:hyperlink>
    </w:p>
    <w:p w:rsidR="008156A1" w:rsidRDefault="00500AB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pacing w:val="0"/>
          <w:lang w:val="cs-CZ" w:eastAsia="cs-CZ"/>
        </w:rPr>
      </w:pPr>
      <w:hyperlink w:anchor="_Toc419970726" w:history="1">
        <w:r w:rsidR="008156A1" w:rsidRPr="00F3054E">
          <w:rPr>
            <w:rStyle w:val="Hypertextovodkaz"/>
            <w:rFonts w:cstheme="minorHAnsi"/>
          </w:rPr>
          <w:t>5.</w:t>
        </w:r>
        <w:r w:rsidR="008156A1">
          <w:rPr>
            <w:rFonts w:asciiTheme="minorHAnsi" w:eastAsiaTheme="minorEastAsia" w:hAnsiTheme="minorHAnsi" w:cstheme="minorBidi"/>
            <w:b w:val="0"/>
            <w:bCs w:val="0"/>
            <w:caps w:val="0"/>
            <w:spacing w:val="0"/>
            <w:lang w:val="cs-CZ" w:eastAsia="cs-CZ"/>
          </w:rPr>
          <w:tab/>
        </w:r>
        <w:r w:rsidR="008156A1" w:rsidRPr="00F3054E">
          <w:rPr>
            <w:rStyle w:val="Hypertextovodkaz"/>
            <w:rFonts w:cstheme="minorHAnsi"/>
          </w:rPr>
          <w:t>Závěr</w:t>
        </w:r>
        <w:r w:rsidR="008156A1">
          <w:rPr>
            <w:webHidden/>
          </w:rPr>
          <w:tab/>
        </w:r>
        <w:r w:rsidR="008156A1">
          <w:rPr>
            <w:webHidden/>
          </w:rPr>
          <w:fldChar w:fldCharType="begin"/>
        </w:r>
        <w:r w:rsidR="008156A1">
          <w:rPr>
            <w:webHidden/>
          </w:rPr>
          <w:instrText xml:space="preserve"> PAGEREF _Toc419970726 \h </w:instrText>
        </w:r>
        <w:r w:rsidR="008156A1">
          <w:rPr>
            <w:webHidden/>
          </w:rPr>
        </w:r>
        <w:r w:rsidR="008156A1">
          <w:rPr>
            <w:webHidden/>
          </w:rPr>
          <w:fldChar w:fldCharType="separate"/>
        </w:r>
        <w:r w:rsidR="00026E11">
          <w:rPr>
            <w:webHidden/>
          </w:rPr>
          <w:t>11</w:t>
        </w:r>
        <w:r w:rsidR="008156A1">
          <w:rPr>
            <w:webHidden/>
          </w:rPr>
          <w:fldChar w:fldCharType="end"/>
        </w:r>
      </w:hyperlink>
    </w:p>
    <w:p w:rsidR="00B469E0" w:rsidRDefault="00B469E0">
      <w:pPr>
        <w:rPr>
          <w:rFonts w:ascii="Arial" w:hAnsi="Arial" w:cs="Arial"/>
          <w:b/>
          <w:bCs/>
          <w:caps/>
          <w:noProof/>
          <w:spacing w:val="10"/>
          <w:sz w:val="20"/>
          <w:szCs w:val="20"/>
        </w:rPr>
      </w:pPr>
      <w:r w:rsidRPr="00B864F7">
        <w:rPr>
          <w:b/>
          <w:bCs/>
          <w:caps/>
          <w:sz w:val="20"/>
          <w:szCs w:val="20"/>
        </w:rPr>
        <w:fldChar w:fldCharType="end"/>
      </w:r>
    </w:p>
    <w:p w:rsidR="00B469E0" w:rsidRDefault="00B469E0">
      <w:pPr>
        <w:rPr>
          <w:rFonts w:ascii="Arial" w:hAnsi="Arial" w:cs="Arial"/>
          <w:b/>
          <w:bCs/>
          <w:caps/>
          <w:noProof/>
          <w:spacing w:val="10"/>
          <w:sz w:val="20"/>
          <w:szCs w:val="20"/>
        </w:rPr>
      </w:pPr>
    </w:p>
    <w:p w:rsidR="00B469E0" w:rsidRDefault="00B469E0">
      <w:pPr>
        <w:sectPr w:rsidR="00B469E0">
          <w:headerReference w:type="first" r:id="rId13"/>
          <w:footerReference w:type="first" r:id="rId14"/>
          <w:pgSz w:w="11906" w:h="16838" w:code="9"/>
          <w:pgMar w:top="2517" w:right="1395" w:bottom="1140" w:left="1695" w:header="709" w:footer="289" w:gutter="0"/>
          <w:cols w:space="708"/>
          <w:titlePg/>
          <w:docGrid w:linePitch="360"/>
        </w:sectPr>
      </w:pPr>
    </w:p>
    <w:p w:rsidR="00B469E0" w:rsidRPr="00BF473E" w:rsidRDefault="00B469E0" w:rsidP="00C43EF2">
      <w:pPr>
        <w:pStyle w:val="Nadpis1"/>
        <w:ind w:left="0" w:firstLine="1134"/>
        <w:rPr>
          <w:rFonts w:asciiTheme="minorHAnsi" w:hAnsiTheme="minorHAnsi" w:cstheme="minorHAnsi"/>
        </w:rPr>
      </w:pPr>
      <w:bookmarkStart w:id="1" w:name="_Toc419970715"/>
      <w:r w:rsidRPr="00BF473E">
        <w:rPr>
          <w:rFonts w:asciiTheme="minorHAnsi" w:hAnsiTheme="minorHAnsi" w:cstheme="minorHAnsi"/>
        </w:rPr>
        <w:lastRenderedPageBreak/>
        <w:t>Úvod</w:t>
      </w:r>
      <w:bookmarkEnd w:id="1"/>
    </w:p>
    <w:p w:rsidR="00B469E0" w:rsidRPr="00BF473E" w:rsidRDefault="00B469E0" w:rsidP="00D46CEA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Systém monitorování spotřeby energie vybraných vládních objektů je základním nástrojem pro práci meziresortní pracovní skupiny vytvořené na základě </w:t>
      </w:r>
      <w:r w:rsidR="002317AE">
        <w:rPr>
          <w:rFonts w:asciiTheme="minorHAnsi" w:hAnsiTheme="minorHAnsi" w:cstheme="minorHAnsi"/>
          <w:sz w:val="22"/>
        </w:rPr>
        <w:t>u</w:t>
      </w:r>
      <w:r w:rsidRPr="00BF473E">
        <w:rPr>
          <w:rFonts w:asciiTheme="minorHAnsi" w:hAnsiTheme="minorHAnsi" w:cstheme="minorHAnsi"/>
          <w:sz w:val="22"/>
        </w:rPr>
        <w:t xml:space="preserve">snesení vlády České </w:t>
      </w:r>
      <w:r w:rsidR="002317AE">
        <w:rPr>
          <w:rFonts w:asciiTheme="minorHAnsi" w:hAnsiTheme="minorHAnsi" w:cstheme="minorHAnsi"/>
          <w:sz w:val="22"/>
        </w:rPr>
        <w:t>r</w:t>
      </w:r>
      <w:r w:rsidRPr="00BF473E">
        <w:rPr>
          <w:rFonts w:asciiTheme="minorHAnsi" w:hAnsiTheme="minorHAnsi" w:cstheme="minorHAnsi"/>
          <w:sz w:val="22"/>
        </w:rPr>
        <w:t>epubliky ze dne 22. srpna 2007 č. 925</w:t>
      </w:r>
      <w:r w:rsidRPr="00BF473E">
        <w:rPr>
          <w:rStyle w:val="Znakapoznpodarou"/>
          <w:rFonts w:asciiTheme="minorHAnsi" w:hAnsiTheme="minorHAnsi" w:cstheme="minorHAnsi"/>
          <w:sz w:val="22"/>
        </w:rPr>
        <w:footnoteReference w:id="1"/>
      </w:r>
      <w:r w:rsidRPr="00BF473E">
        <w:rPr>
          <w:rFonts w:asciiTheme="minorHAnsi" w:hAnsiTheme="minorHAnsi" w:cstheme="minorHAnsi"/>
          <w:sz w:val="22"/>
        </w:rPr>
        <w:t>.</w:t>
      </w:r>
    </w:p>
    <w:p w:rsidR="00B469E0" w:rsidRPr="00BF473E" w:rsidRDefault="00B469E0" w:rsidP="0081489A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Pro monitorování spotřeby energie vládních objektů byl rok 2014 bohatý na události. Paralelně se standardním provozem systému monitorování vybraných vládních objektů centrálních státních institucí byl v souladu s § 7 odst. 4, písm. e) zákona č. 406/2000 Sb.</w:t>
      </w:r>
      <w:r w:rsidR="00A720FE" w:rsidRPr="00BF473E">
        <w:rPr>
          <w:rFonts w:asciiTheme="minorHAnsi" w:hAnsiTheme="minorHAnsi" w:cstheme="minorHAnsi"/>
          <w:sz w:val="22"/>
        </w:rPr>
        <w:t xml:space="preserve">, o hospodaření energií, ve znění pozdějších předpisů, </w:t>
      </w:r>
      <w:r w:rsidRPr="00BF473E">
        <w:rPr>
          <w:rFonts w:asciiTheme="minorHAnsi" w:hAnsiTheme="minorHAnsi" w:cstheme="minorHAnsi"/>
          <w:sz w:val="22"/>
        </w:rPr>
        <w:t>uveden do provozu systém pro evidenci budov v užívání orgánů státní správy. Tento systém, byť na základní úrovni, výra</w:t>
      </w:r>
      <w:r w:rsidR="008156A1">
        <w:rPr>
          <w:rFonts w:asciiTheme="minorHAnsi" w:hAnsiTheme="minorHAnsi" w:cstheme="minorHAnsi"/>
          <w:sz w:val="22"/>
        </w:rPr>
        <w:t>zně rozšířil soubor institucí a </w:t>
      </w:r>
      <w:r w:rsidRPr="00BF473E">
        <w:rPr>
          <w:rFonts w:asciiTheme="minorHAnsi" w:hAnsiTheme="minorHAnsi" w:cstheme="minorHAnsi"/>
          <w:sz w:val="22"/>
        </w:rPr>
        <w:t>budov, které jsou pro státní správu z hlediska energetického managementu významné. Zároveň pokračovaly práce na implementaci článku 5 směrnice o energetické účinnosti 2012/27/EU týkající se příkladné úlohy budov veřejných subjektů.</w:t>
      </w:r>
    </w:p>
    <w:p w:rsidR="00B469E0" w:rsidRPr="00BF473E" w:rsidRDefault="00B469E0" w:rsidP="0081489A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b/>
          <w:bCs/>
          <w:sz w:val="22"/>
        </w:rPr>
        <w:t>V roce 2014 se podařilo resortům na souboru sledovaných objektů dosáhnout ve srovnání s výsledky roku 2009 úspory ve výši 4,6 mil. Kč</w:t>
      </w:r>
      <w:r w:rsidRPr="00BF473E">
        <w:rPr>
          <w:rFonts w:asciiTheme="minorHAnsi" w:hAnsiTheme="minorHAnsi" w:cstheme="minorHAnsi"/>
          <w:sz w:val="22"/>
        </w:rPr>
        <w:t>. Hlavním cílem této zprávy je sumarizovat výsledky provozu systému v roce 2014 a informovat o vývoji v oblasti zkvalitňování energetického managementu ve státní správě.</w:t>
      </w:r>
    </w:p>
    <w:p w:rsidR="00B469E0" w:rsidRPr="00BF473E" w:rsidRDefault="00B469E0" w:rsidP="00994B70">
      <w:pPr>
        <w:jc w:val="both"/>
        <w:rPr>
          <w:rFonts w:asciiTheme="minorHAnsi" w:hAnsiTheme="minorHAnsi" w:cstheme="minorHAnsi"/>
        </w:rPr>
      </w:pPr>
    </w:p>
    <w:p w:rsidR="00B469E0" w:rsidRPr="00BF473E" w:rsidRDefault="00B469E0" w:rsidP="00D46CEA">
      <w:pPr>
        <w:jc w:val="both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</w:rPr>
        <w:br w:type="page"/>
      </w:r>
    </w:p>
    <w:p w:rsidR="00B469E0" w:rsidRPr="00BF473E" w:rsidRDefault="00B469E0" w:rsidP="00C43EF2">
      <w:pPr>
        <w:pStyle w:val="Nadpis1"/>
        <w:pageBreakBefore w:val="0"/>
        <w:rPr>
          <w:rFonts w:asciiTheme="minorHAnsi" w:hAnsiTheme="minorHAnsi" w:cstheme="minorHAnsi"/>
        </w:rPr>
      </w:pPr>
      <w:bookmarkStart w:id="2" w:name="_Toc419970716"/>
      <w:r w:rsidRPr="00BF473E">
        <w:rPr>
          <w:rFonts w:asciiTheme="minorHAnsi" w:hAnsiTheme="minorHAnsi" w:cstheme="minorHAnsi"/>
        </w:rPr>
        <w:lastRenderedPageBreak/>
        <w:t>Systém monitoringu spotřeby</w:t>
      </w:r>
      <w:bookmarkEnd w:id="2"/>
    </w:p>
    <w:p w:rsidR="00B469E0" w:rsidRPr="00BF473E" w:rsidRDefault="00B469E0" w:rsidP="00C43EF2">
      <w:pPr>
        <w:pStyle w:val="Nadpis2"/>
        <w:rPr>
          <w:rFonts w:asciiTheme="minorHAnsi" w:hAnsiTheme="minorHAnsi" w:cstheme="minorHAnsi"/>
        </w:rPr>
      </w:pPr>
      <w:bookmarkStart w:id="3" w:name="_Toc419970717"/>
      <w:r w:rsidRPr="00BF473E">
        <w:rPr>
          <w:rFonts w:asciiTheme="minorHAnsi" w:hAnsiTheme="minorHAnsi" w:cstheme="minorHAnsi"/>
        </w:rPr>
        <w:t>Provoz systému v roce 2014</w:t>
      </w:r>
      <w:bookmarkEnd w:id="3"/>
    </w:p>
    <w:p w:rsidR="00B469E0" w:rsidRPr="00BF473E" w:rsidRDefault="00B469E0" w:rsidP="00030EE5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Systém monitorování spotřeby energie vládních budov byl v roce 2014 provozován standardním způsobem. Na provozu systému spolupracoval administrátor systému se všemi resortními energetiky a správci sledovaných objektů. Ti od roku 2009 poskytují v měsíčních respektive ročních intervalech celkové informace o spotřebě energie, s ní spojených nákladech, stavu a způsobu provozování vybraných významných budov jednotlivých resortů a Úřadu vlády ČR.</w:t>
      </w:r>
    </w:p>
    <w:p w:rsidR="00B469E0" w:rsidRPr="00BF473E" w:rsidRDefault="00B469E0" w:rsidP="00030EE5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V průběhu minulého roku nedošlo v rozsahu sledovaných objektů či informací k žádným zásadním </w:t>
      </w:r>
      <w:r w:rsidR="00A720FE" w:rsidRPr="00BF473E">
        <w:rPr>
          <w:rFonts w:asciiTheme="minorHAnsi" w:hAnsiTheme="minorHAnsi" w:cstheme="minorHAnsi"/>
          <w:sz w:val="22"/>
        </w:rPr>
        <w:t>změnám. V roce 2014 bylo na 50ti</w:t>
      </w:r>
      <w:r w:rsidRPr="00BF473E">
        <w:rPr>
          <w:rFonts w:asciiTheme="minorHAnsi" w:hAnsiTheme="minorHAnsi" w:cstheme="minorHAnsi"/>
          <w:sz w:val="22"/>
        </w:rPr>
        <w:t xml:space="preserve"> vybraných o</w:t>
      </w:r>
      <w:r w:rsidR="008156A1">
        <w:rPr>
          <w:rFonts w:asciiTheme="minorHAnsi" w:hAnsiTheme="minorHAnsi" w:cstheme="minorHAnsi"/>
          <w:sz w:val="22"/>
        </w:rPr>
        <w:t>bjektech napříč všemi resorty a </w:t>
      </w:r>
      <w:r w:rsidRPr="00BF473E">
        <w:rPr>
          <w:rFonts w:asciiTheme="minorHAnsi" w:hAnsiTheme="minorHAnsi" w:cstheme="minorHAnsi"/>
          <w:sz w:val="22"/>
        </w:rPr>
        <w:t>Úřadem vlády ČR monitorováno celkem 88 toků energie. Celková energeticky vztažná plocha monitorovaných objektů činila 721 tis. m</w:t>
      </w:r>
      <w:r w:rsidRPr="00BF473E">
        <w:rPr>
          <w:rFonts w:asciiTheme="minorHAnsi" w:hAnsiTheme="minorHAnsi" w:cstheme="minorHAnsi"/>
          <w:sz w:val="22"/>
          <w:vertAlign w:val="superscript"/>
        </w:rPr>
        <w:t>2</w:t>
      </w:r>
      <w:r w:rsidRPr="00BF473E">
        <w:rPr>
          <w:rFonts w:asciiTheme="minorHAnsi" w:hAnsiTheme="minorHAnsi" w:cstheme="minorHAnsi"/>
          <w:sz w:val="22"/>
        </w:rPr>
        <w:t>.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2391"/>
      </w:tblGrid>
      <w:tr w:rsidR="00B469E0" w:rsidRPr="00BF473E" w:rsidTr="008156A1">
        <w:trPr>
          <w:trHeight w:val="730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  <w:t>Resort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  <w:t>Počet monitorovaných objektů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MD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1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MF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6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MK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2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MMR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3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MO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5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MPO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3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MPSV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1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MŠMT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3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MSp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2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MV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7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MZ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1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MZe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3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MŽP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1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MZV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4</w:t>
            </w:r>
          </w:p>
        </w:tc>
      </w:tr>
      <w:tr w:rsidR="00B469E0" w:rsidRPr="00BF473E" w:rsidTr="008156A1">
        <w:trPr>
          <w:trHeight w:val="270"/>
        </w:trPr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ÚV ČR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  <w:vAlign w:val="center"/>
          </w:tcPr>
          <w:p w:rsidR="00B469E0" w:rsidRPr="00BF473E" w:rsidRDefault="00B469E0" w:rsidP="00DE6F3B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</w:pPr>
            <w:r w:rsidRPr="00BF473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cs-CZ"/>
              </w:rPr>
              <w:t>8</w:t>
            </w:r>
          </w:p>
        </w:tc>
      </w:tr>
    </w:tbl>
    <w:p w:rsidR="00B469E0" w:rsidRPr="00BF473E" w:rsidRDefault="00B469E0" w:rsidP="004A7FE9">
      <w:pPr>
        <w:pStyle w:val="Titulek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</w:rPr>
        <w:t xml:space="preserve">Tabulka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Tabulka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1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r w:rsidRPr="00BF473E">
        <w:rPr>
          <w:rFonts w:asciiTheme="minorHAnsi" w:hAnsiTheme="minorHAnsi" w:cstheme="minorHAnsi"/>
        </w:rPr>
        <w:t xml:space="preserve"> – Počty monitorovaných budov jednotlivých resortů</w:t>
      </w:r>
    </w:p>
    <w:p w:rsidR="00BF473E" w:rsidRDefault="00BF473E" w:rsidP="00030EE5">
      <w:pPr>
        <w:jc w:val="both"/>
        <w:rPr>
          <w:rFonts w:asciiTheme="minorHAnsi" w:hAnsiTheme="minorHAnsi" w:cstheme="minorHAnsi"/>
        </w:rPr>
      </w:pPr>
    </w:p>
    <w:p w:rsidR="00B469E0" w:rsidRPr="00BF473E" w:rsidRDefault="00B469E0" w:rsidP="00030EE5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K dnešnímu dni je k dispozici již šestiletá řada informací o energetické náročnosti všech sledovaných budov. Zkušenosti nabyté provozováním sys</w:t>
      </w:r>
      <w:r w:rsidR="008156A1">
        <w:rPr>
          <w:rFonts w:asciiTheme="minorHAnsi" w:hAnsiTheme="minorHAnsi" w:cstheme="minorHAnsi"/>
          <w:sz w:val="22"/>
        </w:rPr>
        <w:t>tému na vybraném vzorku budov a </w:t>
      </w:r>
      <w:r w:rsidRPr="00BF473E">
        <w:rPr>
          <w:rFonts w:asciiTheme="minorHAnsi" w:hAnsiTheme="minorHAnsi" w:cstheme="minorHAnsi"/>
          <w:sz w:val="22"/>
        </w:rPr>
        <w:t>existence koordinované meziresortní pracovní skupiny významně pomáhají při přípravě implementace požadavků kladených na veřejné instit</w:t>
      </w:r>
      <w:r w:rsidR="008156A1">
        <w:rPr>
          <w:rFonts w:asciiTheme="minorHAnsi" w:hAnsiTheme="minorHAnsi" w:cstheme="minorHAnsi"/>
          <w:sz w:val="22"/>
        </w:rPr>
        <w:t>uce v souvislosti se směrnicí o </w:t>
      </w:r>
      <w:r w:rsidRPr="00BF473E">
        <w:rPr>
          <w:rFonts w:asciiTheme="minorHAnsi" w:hAnsiTheme="minorHAnsi" w:cstheme="minorHAnsi"/>
          <w:sz w:val="22"/>
        </w:rPr>
        <w:t>energetické účinnosti i požadavky národní legislativy.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Správce systému zajišťuje v průběhu roku administraci webového portálu pro sběr relevantních informací o objektech, kontrolu úplnosti a správnosti poskytovaných dat, upozorňuje na zjištěné nesrovnalosti a pomáhá při jejich vysvětlování a odstraňování.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V roce 2014 pokračovala také spolupráce s Úřadem pro zastupování státu ve věcech majetkových. Spolupráce spočívala ve vzájemné výměně dat a v koordinaci činností </w:t>
      </w:r>
      <w:r w:rsidRPr="00BF473E">
        <w:rPr>
          <w:rFonts w:asciiTheme="minorHAnsi" w:hAnsiTheme="minorHAnsi" w:cstheme="minorHAnsi"/>
        </w:rPr>
        <w:t xml:space="preserve">spojených </w:t>
      </w:r>
      <w:r w:rsidRPr="00BF473E">
        <w:rPr>
          <w:rFonts w:asciiTheme="minorHAnsi" w:hAnsiTheme="minorHAnsi" w:cstheme="minorHAnsi"/>
          <w:sz w:val="22"/>
        </w:rPr>
        <w:t>s úpravami struktury a rozsahu informací monitorovaných v souvislosti s problematikou energetické náročnosti budov.</w:t>
      </w:r>
    </w:p>
    <w:p w:rsidR="00B469E0" w:rsidRPr="00BF473E" w:rsidRDefault="00B469E0" w:rsidP="00C43EF2">
      <w:pPr>
        <w:pStyle w:val="Nadpis1"/>
        <w:pageBreakBefore w:val="0"/>
        <w:rPr>
          <w:rFonts w:asciiTheme="minorHAnsi" w:hAnsiTheme="minorHAnsi" w:cstheme="minorHAnsi"/>
        </w:rPr>
      </w:pPr>
      <w:bookmarkStart w:id="4" w:name="_Toc419970718"/>
      <w:r w:rsidRPr="00BF473E">
        <w:rPr>
          <w:rFonts w:asciiTheme="minorHAnsi" w:hAnsiTheme="minorHAnsi" w:cstheme="minorHAnsi"/>
        </w:rPr>
        <w:lastRenderedPageBreak/>
        <w:t>Analýza monitorovaných dat</w:t>
      </w:r>
      <w:bookmarkEnd w:id="4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V průběhu roku 2014 se soubor monitorovaných objektů zásadně nezměnil, došlo pouze k dílčím úpravám. V souvislosti se změnou příslušnosti institucí hospodařit budovami došlo v případě jedné budovy k jejímu přesunu pod jinou instituci. Několik objektů prošlo v průběhu roku rekonstrukcí zaměřenou na snížení energetické náročnosti a/nebo byla na technickém zařízení budov realizována úsporná opatření.</w:t>
      </w:r>
    </w:p>
    <w:p w:rsidR="00B469E0" w:rsidRPr="00BF473E" w:rsidRDefault="00B469E0" w:rsidP="00CD2EEF">
      <w:pPr>
        <w:pStyle w:val="Nadpis2"/>
        <w:rPr>
          <w:rFonts w:asciiTheme="minorHAnsi" w:hAnsiTheme="minorHAnsi" w:cstheme="minorHAnsi"/>
        </w:rPr>
      </w:pPr>
      <w:bookmarkStart w:id="5" w:name="_Toc419970719"/>
      <w:r w:rsidRPr="00BF473E">
        <w:rPr>
          <w:rFonts w:asciiTheme="minorHAnsi" w:hAnsiTheme="minorHAnsi" w:cstheme="minorHAnsi"/>
        </w:rPr>
        <w:t>Spotřeba energie</w:t>
      </w:r>
      <w:bookmarkEnd w:id="5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Graf 1 znázorňuje celkovou roční spotřebu energie všech sledovaných energonositelů na všech monitorovaných objektech v letech 2009 až 2014.</w:t>
      </w:r>
    </w:p>
    <w:p w:rsidR="00B469E0" w:rsidRPr="00BF473E" w:rsidRDefault="005641A4" w:rsidP="00CD2EEF">
      <w:pPr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5CB2AAD5" wp14:editId="4D50A3C4">
            <wp:extent cx="5086350" cy="3162300"/>
            <wp:effectExtent l="0" t="0" r="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9B0001">
      <w:pPr>
        <w:pStyle w:val="Titulek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1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r w:rsidRPr="00BF473E">
        <w:rPr>
          <w:rFonts w:asciiTheme="minorHAnsi" w:hAnsiTheme="minorHAnsi" w:cstheme="minorHAnsi"/>
        </w:rPr>
        <w:t xml:space="preserve"> – Trend celkové spotřeby energie sledovaného souboru objektů v letech 2009 – 2014</w:t>
      </w:r>
    </w:p>
    <w:p w:rsidR="00BF473E" w:rsidRDefault="00BF473E" w:rsidP="005D5C1E">
      <w:pPr>
        <w:jc w:val="both"/>
        <w:rPr>
          <w:rFonts w:asciiTheme="minorHAnsi" w:hAnsiTheme="minorHAnsi" w:cstheme="minorHAnsi"/>
          <w:sz w:val="22"/>
        </w:rPr>
      </w:pP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Celková spotřeba energie monitorovaných budov činila v roce 2014 119 GWh. Meziročně se tak spotřeba snížila o 10,4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%. Tento vývoj je do značné míry ovlivněn klimatickými podmínkami. Rok 2014 byl extrémně teplý, z porovnání ukazat</w:t>
      </w:r>
      <w:r w:rsidR="008156A1">
        <w:rPr>
          <w:rFonts w:asciiTheme="minorHAnsi" w:hAnsiTheme="minorHAnsi" w:cstheme="minorHAnsi"/>
          <w:sz w:val="22"/>
        </w:rPr>
        <w:t>ele denostupňů mezi lety 2013 a </w:t>
      </w:r>
      <w:r w:rsidRPr="00BF473E">
        <w:rPr>
          <w:rFonts w:asciiTheme="minorHAnsi" w:hAnsiTheme="minorHAnsi" w:cstheme="minorHAnsi"/>
          <w:sz w:val="22"/>
        </w:rPr>
        <w:t>2014 vyplývá pokles o téměř 18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%.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Spotřebu energie sledovaných objektů zásadn</w:t>
      </w:r>
      <w:r w:rsidR="00A720FE" w:rsidRPr="00BF473E">
        <w:rPr>
          <w:rFonts w:asciiTheme="minorHAnsi" w:hAnsiTheme="minorHAnsi" w:cstheme="minorHAnsi"/>
          <w:sz w:val="22"/>
        </w:rPr>
        <w:t>ě</w:t>
      </w:r>
      <w:r w:rsidRPr="00BF473E">
        <w:rPr>
          <w:rFonts w:asciiTheme="minorHAnsi" w:hAnsiTheme="minorHAnsi" w:cstheme="minorHAnsi"/>
          <w:sz w:val="22"/>
        </w:rPr>
        <w:t xml:space="preserve"> ovlivňuje ve</w:t>
      </w:r>
      <w:r w:rsidR="008156A1">
        <w:rPr>
          <w:rFonts w:asciiTheme="minorHAnsi" w:hAnsiTheme="minorHAnsi" w:cstheme="minorHAnsi"/>
          <w:sz w:val="22"/>
        </w:rPr>
        <w:t>nkovní teplota, což je patrné z </w:t>
      </w:r>
      <w:r w:rsidR="00E5528B" w:rsidRPr="00BF473E">
        <w:rPr>
          <w:rFonts w:asciiTheme="minorHAnsi" w:hAnsiTheme="minorHAnsi" w:cstheme="minorHAnsi"/>
          <w:sz w:val="22"/>
        </w:rPr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_Ref291572563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2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>, znázorňujícího průběh měsíčních spotřeb energie členěn</w:t>
      </w:r>
      <w:r w:rsidR="00A720FE" w:rsidRPr="00BF473E">
        <w:rPr>
          <w:rFonts w:asciiTheme="minorHAnsi" w:hAnsiTheme="minorHAnsi" w:cstheme="minorHAnsi"/>
          <w:sz w:val="22"/>
        </w:rPr>
        <w:t>ého</w:t>
      </w:r>
      <w:r w:rsidRPr="00BF473E">
        <w:rPr>
          <w:rFonts w:asciiTheme="minorHAnsi" w:hAnsiTheme="minorHAnsi" w:cstheme="minorHAnsi"/>
          <w:sz w:val="22"/>
        </w:rPr>
        <w:t xml:space="preserve"> do skupin dle energonositelů. Zatímco modře vyznačená spotřeba elektrické energie pro provoz budov očištěná o odběry elektrické energie pro vytápění je v průb</w:t>
      </w:r>
      <w:r w:rsidR="008156A1">
        <w:rPr>
          <w:rFonts w:asciiTheme="minorHAnsi" w:hAnsiTheme="minorHAnsi" w:cstheme="minorHAnsi"/>
          <w:sz w:val="22"/>
        </w:rPr>
        <w:t>ěhu roku víceméně konstantní, u </w:t>
      </w:r>
      <w:r w:rsidRPr="00BF473E">
        <w:rPr>
          <w:rFonts w:asciiTheme="minorHAnsi" w:hAnsiTheme="minorHAnsi" w:cstheme="minorHAnsi"/>
          <w:sz w:val="22"/>
        </w:rPr>
        <w:t>ostatních energonositelů je patrná silná sezónní závislost.</w:t>
      </w:r>
    </w:p>
    <w:p w:rsidR="00B469E0" w:rsidRPr="00BF473E" w:rsidRDefault="005641A4" w:rsidP="00CD2EEF">
      <w:pPr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lastRenderedPageBreak/>
        <w:drawing>
          <wp:inline distT="0" distB="0" distL="0" distR="0" wp14:anchorId="29A76FBE" wp14:editId="1776A830">
            <wp:extent cx="5086350" cy="3162300"/>
            <wp:effectExtent l="0" t="0" r="0" b="0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CD2EEF">
      <w:pPr>
        <w:pStyle w:val="Titulek"/>
        <w:rPr>
          <w:rFonts w:asciiTheme="minorHAnsi" w:hAnsiTheme="minorHAnsi" w:cstheme="minorHAnsi"/>
        </w:rPr>
      </w:pPr>
      <w:bookmarkStart w:id="6" w:name="_Ref291572563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2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6"/>
      <w:r w:rsidRPr="00BF473E">
        <w:rPr>
          <w:rFonts w:asciiTheme="minorHAnsi" w:hAnsiTheme="minorHAnsi" w:cstheme="minorHAnsi"/>
        </w:rPr>
        <w:t xml:space="preserve"> - Průběh spotřeby energie v letech 2009 až 2014 po energonositelích</w:t>
      </w:r>
    </w:p>
    <w:p w:rsidR="00BF473E" w:rsidRDefault="00BF473E" w:rsidP="00BF473E">
      <w:pPr>
        <w:pStyle w:val="Nadpis2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</w:p>
    <w:p w:rsidR="00B469E0" w:rsidRPr="00BF473E" w:rsidRDefault="00B469E0" w:rsidP="003B6598">
      <w:pPr>
        <w:pStyle w:val="Nadpis2"/>
        <w:rPr>
          <w:rFonts w:asciiTheme="minorHAnsi" w:hAnsiTheme="minorHAnsi" w:cstheme="minorHAnsi"/>
        </w:rPr>
      </w:pPr>
      <w:bookmarkStart w:id="7" w:name="_Toc419970720"/>
      <w:r w:rsidRPr="00BF473E">
        <w:rPr>
          <w:rFonts w:asciiTheme="minorHAnsi" w:hAnsiTheme="minorHAnsi" w:cstheme="minorHAnsi"/>
        </w:rPr>
        <w:t>Ceny energie</w:t>
      </w:r>
      <w:bookmarkEnd w:id="7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Průměrná jednotková cena elektrické energie v běžných tarifech </w:t>
      </w:r>
      <w:r w:rsidR="00A720FE" w:rsidRPr="00BF473E">
        <w:rPr>
          <w:rFonts w:asciiTheme="minorHAnsi" w:hAnsiTheme="minorHAnsi" w:cstheme="minorHAnsi"/>
          <w:sz w:val="22"/>
        </w:rPr>
        <w:t xml:space="preserve">v roce 2014 meziročně poklesla </w:t>
      </w:r>
      <w:r w:rsidRPr="00BF473E">
        <w:rPr>
          <w:rFonts w:asciiTheme="minorHAnsi" w:hAnsiTheme="minorHAnsi" w:cstheme="minorHAnsi"/>
          <w:sz w:val="22"/>
        </w:rPr>
        <w:t>o téměř 12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 a průměrná jednotková cena elektrické energie v „topných tarifech“ poklesla téměř o 14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%. Na rozdíl od elektrické energie se průměrná jednotková cena zemního plynu na sledovaných objektech meziročně změnila jen nepatrně, zaznamenala růst 3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%. Největší meziroční nárůst o více než 14</w:t>
      </w:r>
      <w:r w:rsidR="00A720F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>% průměrné jednotkové ceny zaznamenala tepelná energie. Vývoj průměrných jednotkových cen nakupovaných energonositelů je uveden v tabulce 2. Vzhledem k tomu, že od roku 2011 žádný ze sledovaných objektů není vytápěn topným olejem</w:t>
      </w:r>
      <w:r w:rsidR="00A720FE" w:rsidRPr="00BF473E">
        <w:rPr>
          <w:rFonts w:asciiTheme="minorHAnsi" w:hAnsiTheme="minorHAnsi" w:cstheme="minorHAnsi"/>
          <w:sz w:val="22"/>
        </w:rPr>
        <w:t>,</w:t>
      </w:r>
      <w:r w:rsidRPr="00BF473E">
        <w:rPr>
          <w:rFonts w:asciiTheme="minorHAnsi" w:hAnsiTheme="minorHAnsi" w:cstheme="minorHAnsi"/>
          <w:sz w:val="22"/>
        </w:rPr>
        <w:t xml:space="preserve"> není možné pro roky 2011- 2014 jednotkovou cenu stanovit.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918"/>
        <w:gridCol w:w="671"/>
        <w:gridCol w:w="723"/>
        <w:gridCol w:w="723"/>
        <w:gridCol w:w="622"/>
        <w:gridCol w:w="622"/>
        <w:gridCol w:w="622"/>
        <w:gridCol w:w="622"/>
      </w:tblGrid>
      <w:tr w:rsidR="00B469E0" w:rsidRPr="00BF473E" w:rsidTr="008156A1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Médium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 j.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</w:tcPr>
          <w:p w:rsidR="00B469E0" w:rsidRPr="00BF473E" w:rsidRDefault="00B469E0" w:rsidP="009C2C8E">
            <w:pPr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Průměrná cena Kč/m. j.</w:t>
            </w:r>
          </w:p>
        </w:tc>
      </w:tr>
      <w:tr w:rsidR="00B469E0" w:rsidRPr="00BF473E" w:rsidTr="008156A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469E0" w:rsidRPr="00BF473E" w:rsidRDefault="00B469E0" w:rsidP="00C93352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B469E0" w:rsidRPr="00BF473E" w:rsidTr="008156A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3623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3762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3636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9E0" w:rsidRPr="00BF473E" w:rsidRDefault="00B469E0" w:rsidP="00C93352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3881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3445</w:t>
            </w:r>
          </w:p>
        </w:tc>
      </w:tr>
      <w:tr w:rsidR="00B469E0" w:rsidRPr="00BF473E" w:rsidTr="008156A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2644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9E0" w:rsidRPr="00BF473E" w:rsidRDefault="00B469E0" w:rsidP="00C93352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</w:rPr>
              <w:t>2279</w:t>
            </w:r>
          </w:p>
        </w:tc>
      </w:tr>
      <w:tr w:rsidR="00B469E0" w:rsidRPr="00BF473E" w:rsidTr="008156A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9E0" w:rsidRPr="00BF473E" w:rsidRDefault="00B469E0" w:rsidP="00C93352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14,0</w:t>
            </w:r>
          </w:p>
        </w:tc>
      </w:tr>
      <w:tr w:rsidR="00B469E0" w:rsidRPr="00BF473E" w:rsidTr="008156A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9E0" w:rsidRPr="00BF473E" w:rsidRDefault="00B469E0" w:rsidP="00C93352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599</w:t>
            </w:r>
          </w:p>
        </w:tc>
      </w:tr>
      <w:tr w:rsidR="00B469E0" w:rsidRPr="00BF473E" w:rsidTr="008156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469E0" w:rsidRPr="00BF473E" w:rsidRDefault="00B469E0" w:rsidP="009C2C8E">
            <w:pPr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11930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469E0" w:rsidRPr="00BF473E" w:rsidRDefault="00B469E0" w:rsidP="009C2C8E">
            <w:pPr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47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Není k dispozici</w:t>
            </w:r>
          </w:p>
        </w:tc>
      </w:tr>
    </w:tbl>
    <w:p w:rsidR="00B469E0" w:rsidRPr="00BF473E" w:rsidRDefault="00B469E0" w:rsidP="003B6598">
      <w:pPr>
        <w:pStyle w:val="Titulek"/>
        <w:rPr>
          <w:rFonts w:asciiTheme="minorHAnsi" w:hAnsiTheme="minorHAnsi" w:cstheme="minorHAnsi"/>
        </w:rPr>
      </w:pPr>
      <w:bookmarkStart w:id="8" w:name="_Ref291574754"/>
      <w:r w:rsidRPr="00BF473E">
        <w:rPr>
          <w:rFonts w:asciiTheme="minorHAnsi" w:hAnsiTheme="minorHAnsi" w:cstheme="minorHAnsi"/>
        </w:rPr>
        <w:t xml:space="preserve">Tabulka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Tabulka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2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8"/>
      <w:r w:rsidRPr="00BF473E">
        <w:rPr>
          <w:rFonts w:asciiTheme="minorHAnsi" w:hAnsiTheme="minorHAnsi" w:cstheme="minorHAnsi"/>
        </w:rPr>
        <w:t xml:space="preserve"> – Meziroční srovnání jednotkových cen sledovaných energetických vstupů</w:t>
      </w:r>
    </w:p>
    <w:p w:rsidR="00BF473E" w:rsidRDefault="00BF473E" w:rsidP="00BF473E">
      <w:pPr>
        <w:pStyle w:val="Nadpis2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</w:p>
    <w:p w:rsidR="00B469E0" w:rsidRPr="00BF473E" w:rsidRDefault="00B469E0" w:rsidP="00CD2EEF">
      <w:pPr>
        <w:pStyle w:val="Nadpis2"/>
        <w:rPr>
          <w:rFonts w:asciiTheme="minorHAnsi" w:hAnsiTheme="minorHAnsi" w:cstheme="minorHAnsi"/>
        </w:rPr>
      </w:pPr>
      <w:bookmarkStart w:id="9" w:name="_Toc419970721"/>
      <w:r w:rsidRPr="00BF473E">
        <w:rPr>
          <w:rFonts w:asciiTheme="minorHAnsi" w:hAnsiTheme="minorHAnsi" w:cstheme="minorHAnsi"/>
        </w:rPr>
        <w:t>Náklady</w:t>
      </w:r>
      <w:bookmarkEnd w:id="9"/>
    </w:p>
    <w:p w:rsidR="00B469E0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Celkové roční náklady na energii u sledovaných objektů v roce 2014 činily 249,2 mil. Kč. Náklady na zásobování monitorovaných objektů energií tak ročně poklesly téměř o 17</w:t>
      </w:r>
      <w:r w:rsidR="00BF473E" w:rsidRPr="00BF473E">
        <w:rPr>
          <w:rFonts w:asciiTheme="minorHAnsi" w:hAnsiTheme="minorHAnsi" w:cstheme="minorHAnsi"/>
          <w:sz w:val="22"/>
        </w:rPr>
        <w:t xml:space="preserve"> </w:t>
      </w:r>
      <w:r w:rsidRPr="00BF473E">
        <w:rPr>
          <w:rFonts w:asciiTheme="minorHAnsi" w:hAnsiTheme="minorHAnsi" w:cstheme="minorHAnsi"/>
          <w:sz w:val="22"/>
        </w:rPr>
        <w:t xml:space="preserve">%. Náklady jsou sledovány na základě fakturace od dodavatelů energie. Veškeré finanční údaje jsou vzhledem k povaze monitorovaných institucí počítány včetně daně z přidané hodnoty. </w:t>
      </w:r>
      <w:r w:rsidR="00E5528B" w:rsidRPr="00BF473E">
        <w:rPr>
          <w:rFonts w:asciiTheme="minorHAnsi" w:hAnsiTheme="minorHAnsi" w:cstheme="minorHAnsi"/>
          <w:sz w:val="22"/>
        </w:rPr>
        <w:lastRenderedPageBreak/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_Ref291572590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3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 xml:space="preserve"> znázorňuje podíl jednotlivých resortů na spotřebě celého souboru monitorovaných budov.</w:t>
      </w:r>
    </w:p>
    <w:p w:rsidR="00B469E0" w:rsidRPr="00BF473E" w:rsidRDefault="005641A4" w:rsidP="00CD2EEF">
      <w:pPr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3E1EFCF3" wp14:editId="45DAC301">
            <wp:extent cx="4895850" cy="304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CD2EEF">
      <w:pPr>
        <w:pStyle w:val="Titulek"/>
        <w:rPr>
          <w:rFonts w:asciiTheme="minorHAnsi" w:hAnsiTheme="minorHAnsi" w:cstheme="minorHAnsi"/>
        </w:rPr>
      </w:pPr>
      <w:bookmarkStart w:id="10" w:name="_Ref291572590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3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10"/>
      <w:r w:rsidRPr="00BF473E">
        <w:rPr>
          <w:rFonts w:asciiTheme="minorHAnsi" w:hAnsiTheme="minorHAnsi" w:cstheme="minorHAnsi"/>
        </w:rPr>
        <w:t xml:space="preserve"> - Podíl resortů na celkové spotřebě energie sledovaných objektů v roce 2014</w:t>
      </w:r>
    </w:p>
    <w:p w:rsidR="00B469E0" w:rsidRPr="00BF473E" w:rsidRDefault="00B469E0" w:rsidP="00CD2EEF">
      <w:pPr>
        <w:pStyle w:val="Nadpis2"/>
        <w:rPr>
          <w:rFonts w:asciiTheme="minorHAnsi" w:hAnsiTheme="minorHAnsi" w:cstheme="minorHAnsi"/>
        </w:rPr>
      </w:pPr>
      <w:bookmarkStart w:id="11" w:name="_Toc419970722"/>
      <w:r w:rsidRPr="00BF473E">
        <w:rPr>
          <w:rFonts w:asciiTheme="minorHAnsi" w:hAnsiTheme="minorHAnsi" w:cstheme="minorHAnsi"/>
        </w:rPr>
        <w:t>Palivová základna</w:t>
      </w:r>
      <w:bookmarkEnd w:id="11"/>
    </w:p>
    <w:p w:rsidR="00B469E0" w:rsidRPr="00BF473E" w:rsidRDefault="00B469E0" w:rsidP="00DF0B5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Jak již bylo konstatováno, nedošlo v roce 2014 k zásadní změně zásobování sledovaných objektů jednotlivými energonositeli. Podíl jednotlivých energonositelů na celkovém energetickém vstupu znázorňuje </w:t>
      </w:r>
      <w:r w:rsidR="00E5528B" w:rsidRPr="00BF473E">
        <w:rPr>
          <w:rFonts w:asciiTheme="minorHAnsi" w:hAnsiTheme="minorHAnsi" w:cstheme="minorHAnsi"/>
          <w:sz w:val="22"/>
        </w:rPr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_Ref291574488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4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 xml:space="preserve">. Spotřeba elektrické energie pro provozní účely je přitom v ojedinělých případech zatížena krytím části spotřeby energie objektu pro vytápění, jelikož jsou sledovány pouze fakturační vstupy energie a několik sledovaných budov nemá fakturačně oddělenou spotřebu elektrické energie pro </w:t>
      </w:r>
      <w:r w:rsidR="008156A1">
        <w:rPr>
          <w:rFonts w:asciiTheme="minorHAnsi" w:hAnsiTheme="minorHAnsi" w:cstheme="minorHAnsi"/>
          <w:sz w:val="22"/>
        </w:rPr>
        <w:t>vytápění. Jedná se však pouze o </w:t>
      </w:r>
      <w:r w:rsidRPr="00BF473E">
        <w:rPr>
          <w:rFonts w:asciiTheme="minorHAnsi" w:hAnsiTheme="minorHAnsi" w:cstheme="minorHAnsi"/>
          <w:sz w:val="22"/>
        </w:rPr>
        <w:t xml:space="preserve">výjimky. </w:t>
      </w:r>
      <w:r w:rsidR="00BF473E" w:rsidRPr="00BF473E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321BE94" wp14:editId="00990D4F">
            <wp:extent cx="5086350" cy="3162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CD2EEF">
      <w:pPr>
        <w:pStyle w:val="Titulek"/>
        <w:rPr>
          <w:rFonts w:asciiTheme="minorHAnsi" w:hAnsiTheme="minorHAnsi" w:cstheme="minorHAnsi"/>
        </w:rPr>
      </w:pPr>
      <w:bookmarkStart w:id="12" w:name="_Ref291574488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4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12"/>
      <w:r w:rsidRPr="00BF473E">
        <w:rPr>
          <w:rFonts w:asciiTheme="minorHAnsi" w:hAnsiTheme="minorHAnsi" w:cstheme="minorHAnsi"/>
        </w:rPr>
        <w:t xml:space="preserve"> – Podíl sledovaných energonositelů na celk</w:t>
      </w:r>
      <w:r w:rsidR="00E5528B" w:rsidRPr="00BF473E">
        <w:rPr>
          <w:rFonts w:asciiTheme="minorHAnsi" w:hAnsiTheme="minorHAnsi" w:cstheme="minorHAnsi"/>
        </w:rPr>
        <w:t>ové spotřebě energie v roce 2014</w:t>
      </w:r>
    </w:p>
    <w:p w:rsidR="00B469E0" w:rsidRPr="00BF473E" w:rsidRDefault="00B469E0" w:rsidP="00CD2EEF">
      <w:pPr>
        <w:pStyle w:val="Nadpis2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</w:rPr>
        <w:lastRenderedPageBreak/>
        <w:t xml:space="preserve">  </w:t>
      </w:r>
      <w:bookmarkStart w:id="13" w:name="_Toc419970723"/>
      <w:r w:rsidRPr="00BF473E">
        <w:rPr>
          <w:rFonts w:asciiTheme="minorHAnsi" w:hAnsiTheme="minorHAnsi" w:cstheme="minorHAnsi"/>
        </w:rPr>
        <w:t>Měrné ukazatele</w:t>
      </w:r>
      <w:bookmarkEnd w:id="13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Objekty, u kterých lze samostatně stanovit množství energie pro vytápění</w:t>
      </w:r>
      <w:r w:rsidR="00BF473E" w:rsidRPr="00BF473E">
        <w:rPr>
          <w:rFonts w:asciiTheme="minorHAnsi" w:hAnsiTheme="minorHAnsi" w:cstheme="minorHAnsi"/>
          <w:sz w:val="22"/>
        </w:rPr>
        <w:t>,</w:t>
      </w:r>
      <w:r w:rsidRPr="00BF473E">
        <w:rPr>
          <w:rFonts w:asciiTheme="minorHAnsi" w:hAnsiTheme="minorHAnsi" w:cstheme="minorHAnsi"/>
          <w:sz w:val="22"/>
        </w:rPr>
        <w:t xml:space="preserve"> je možné porovnat z hlediska měrné spotřeby na vytápění vztažené na jednotku</w:t>
      </w:r>
      <w:r w:rsidR="008156A1">
        <w:rPr>
          <w:rFonts w:asciiTheme="minorHAnsi" w:hAnsiTheme="minorHAnsi" w:cstheme="minorHAnsi"/>
          <w:sz w:val="22"/>
        </w:rPr>
        <w:t xml:space="preserve"> vytápěné podlahové plochy (viz </w:t>
      </w:r>
      <w:r w:rsidR="00E5528B" w:rsidRPr="00BF473E">
        <w:rPr>
          <w:rFonts w:asciiTheme="minorHAnsi" w:hAnsiTheme="minorHAnsi" w:cstheme="minorHAnsi"/>
          <w:sz w:val="22"/>
        </w:rPr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_Ref291576974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5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>).</w:t>
      </w:r>
    </w:p>
    <w:p w:rsidR="00B469E0" w:rsidRPr="00BF473E" w:rsidRDefault="005641A4" w:rsidP="00AC77E4">
      <w:pPr>
        <w:ind w:left="0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5599E8B3" wp14:editId="0C810F9F">
            <wp:extent cx="5734050" cy="3562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DC4953">
      <w:pPr>
        <w:pStyle w:val="Titulek"/>
        <w:rPr>
          <w:rFonts w:asciiTheme="minorHAnsi" w:hAnsiTheme="minorHAnsi" w:cstheme="minorHAnsi"/>
        </w:rPr>
      </w:pPr>
      <w:bookmarkStart w:id="14" w:name="_Ref291576974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5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14"/>
      <w:r w:rsidRPr="00BF473E">
        <w:rPr>
          <w:rFonts w:asciiTheme="minorHAnsi" w:hAnsiTheme="minorHAnsi" w:cstheme="minorHAnsi"/>
        </w:rPr>
        <w:t xml:space="preserve"> – Porovnání měrné spotřeby energie objektů na vytápění v roce 2012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Porovnání měrných spotřeb umožňuje jednoduše zhodnotit energetickou náročnost objektů a identifikovat tak případy nehospodárného nakládání energií a vyhledávat potenciální energeticky úsporné projekty. Objektům vykazujícím výsledky vymykající se normálu je věnována zvláštní pozornost.</w:t>
      </w:r>
    </w:p>
    <w:p w:rsidR="00B469E0" w:rsidRPr="00BF473E" w:rsidRDefault="00B469E0" w:rsidP="00832BB7">
      <w:pPr>
        <w:pStyle w:val="Nadpis1"/>
        <w:pageBreakBefore w:val="0"/>
        <w:rPr>
          <w:rFonts w:asciiTheme="minorHAnsi" w:hAnsiTheme="minorHAnsi" w:cstheme="minorHAnsi"/>
        </w:rPr>
      </w:pPr>
      <w:bookmarkStart w:id="15" w:name="_Toc419970724"/>
      <w:r w:rsidRPr="00BF473E">
        <w:rPr>
          <w:rFonts w:asciiTheme="minorHAnsi" w:hAnsiTheme="minorHAnsi" w:cstheme="minorHAnsi"/>
        </w:rPr>
        <w:t>Souhrn dosažených výsledků</w:t>
      </w:r>
      <w:bookmarkEnd w:id="15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V roce 2014 byl systém monitorování spotřeby energie vybraných vládních objektů provozován v souladu s plánem. Údaje o spotřebě energie jsou pravidelně sbírány a analyzovány, případy výskytu nestandardních odchylek jsou řešeny s energetiky dotčených resortů. Resorty aktivně pracují na zlepšování v oblasti hospodaření s energií.</w:t>
      </w:r>
    </w:p>
    <w:p w:rsidR="00B469E0" w:rsidRPr="00BF473E" w:rsidRDefault="00B469E0" w:rsidP="00FB6028">
      <w:pPr>
        <w:pStyle w:val="Nadpis2"/>
        <w:rPr>
          <w:rFonts w:asciiTheme="minorHAnsi" w:hAnsiTheme="minorHAnsi" w:cstheme="minorHAnsi"/>
        </w:rPr>
      </w:pPr>
      <w:bookmarkStart w:id="16" w:name="_Toc419970725"/>
      <w:r w:rsidRPr="00BF473E">
        <w:rPr>
          <w:rFonts w:asciiTheme="minorHAnsi" w:hAnsiTheme="minorHAnsi" w:cstheme="minorHAnsi"/>
        </w:rPr>
        <w:t>Úsporná opatření</w:t>
      </w:r>
      <w:bookmarkEnd w:id="16"/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Vzhledem ke značně omezeným možnostem resortů realizovat</w:t>
      </w:r>
      <w:r w:rsidR="008156A1">
        <w:rPr>
          <w:rFonts w:asciiTheme="minorHAnsi" w:hAnsiTheme="minorHAnsi" w:cstheme="minorHAnsi"/>
          <w:sz w:val="22"/>
        </w:rPr>
        <w:t xml:space="preserve"> energeticky úsporná opatření a </w:t>
      </w:r>
      <w:r w:rsidRPr="00BF473E">
        <w:rPr>
          <w:rFonts w:asciiTheme="minorHAnsi" w:hAnsiTheme="minorHAnsi" w:cstheme="minorHAnsi"/>
          <w:sz w:val="22"/>
        </w:rPr>
        <w:t>projekty proběhlo v roce 2014 jen několik zásadnějších úsporných projektů. Snahou většiny resortů je především snížit náklady na energii bez vynaložení nedostávajících se investičních prostředků. Zaměřují se proto zejména na zlepšení podm</w:t>
      </w:r>
      <w:r w:rsidR="008156A1">
        <w:rPr>
          <w:rFonts w:asciiTheme="minorHAnsi" w:hAnsiTheme="minorHAnsi" w:cstheme="minorHAnsi"/>
          <w:sz w:val="22"/>
        </w:rPr>
        <w:t>ínek nákupu energie přípravou a </w:t>
      </w:r>
      <w:r w:rsidRPr="00BF473E">
        <w:rPr>
          <w:rFonts w:asciiTheme="minorHAnsi" w:hAnsiTheme="minorHAnsi" w:cstheme="minorHAnsi"/>
          <w:sz w:val="22"/>
        </w:rPr>
        <w:t>konáním výběrových řízení na dodavatele. Resorty také pracují na optimalizaci prostorového a časového využití a obsazenosti objektů, čímž globálně přispívají i ke snížení energetické náročnosti.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sz w:val="22"/>
        </w:rPr>
        <w:lastRenderedPageBreak/>
        <w:t>Na základě cílů nastavených na základě údajů roku 2009 je možné sledovat souhrnně přínosy těchto úsporných opatření na trendu kumulovaných úspor energie</w:t>
      </w:r>
      <w:r w:rsidRPr="00BF473E">
        <w:rPr>
          <w:rStyle w:val="Znakapoznpodarou"/>
          <w:rFonts w:asciiTheme="minorHAnsi" w:hAnsiTheme="minorHAnsi" w:cstheme="minorHAnsi"/>
          <w:sz w:val="22"/>
        </w:rPr>
        <w:footnoteReference w:id="2"/>
      </w:r>
      <w:r w:rsidRPr="00BF473E">
        <w:rPr>
          <w:rFonts w:asciiTheme="minorHAnsi" w:hAnsiTheme="minorHAnsi" w:cstheme="minorHAnsi"/>
          <w:sz w:val="22"/>
        </w:rPr>
        <w:t xml:space="preserve"> (viz </w:t>
      </w:r>
      <w:r w:rsidR="00E5528B" w:rsidRPr="00BF473E">
        <w:rPr>
          <w:rFonts w:asciiTheme="minorHAnsi" w:hAnsiTheme="minorHAnsi" w:cstheme="minorHAnsi"/>
          <w:sz w:val="22"/>
        </w:rPr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_Ref291569630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6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>).</w:t>
      </w:r>
    </w:p>
    <w:p w:rsidR="00B469E0" w:rsidRPr="00BF473E" w:rsidRDefault="00B469E0" w:rsidP="005D5C1E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b/>
          <w:bCs/>
          <w:sz w:val="22"/>
        </w:rPr>
        <w:t>Z porovnání cílových a reálně dosažených spotřeb energie jednotlivých objektů vyplývá, že se v roce 2014 podařilo resortům na souboru sledovaných objektů dosáhnout úspory ve výši 4,6 mil. Kč v aktuálních cenách energie.</w:t>
      </w:r>
    </w:p>
    <w:p w:rsidR="00B469E0" w:rsidRPr="00BF473E" w:rsidRDefault="005641A4" w:rsidP="00FB6028">
      <w:pPr>
        <w:pStyle w:val="MainText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E40EC27" wp14:editId="2BB06026">
            <wp:extent cx="5086350" cy="31623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455864">
      <w:pPr>
        <w:pStyle w:val="Titulek"/>
        <w:rPr>
          <w:rFonts w:asciiTheme="minorHAnsi" w:hAnsiTheme="minorHAnsi" w:cstheme="minorHAnsi"/>
        </w:rPr>
      </w:pPr>
      <w:bookmarkStart w:id="17" w:name="_Ref291569630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6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17"/>
      <w:r w:rsidRPr="00BF473E">
        <w:rPr>
          <w:rFonts w:asciiTheme="minorHAnsi" w:hAnsiTheme="minorHAnsi" w:cstheme="minorHAnsi"/>
        </w:rPr>
        <w:t xml:space="preserve"> – Trend kumulované úspory na úrovni celého systému</w:t>
      </w:r>
    </w:p>
    <w:p w:rsidR="00B469E0" w:rsidRPr="00BF473E" w:rsidRDefault="00B469E0" w:rsidP="00362BB3">
      <w:pPr>
        <w:jc w:val="both"/>
        <w:rPr>
          <w:rFonts w:asciiTheme="minorHAnsi" w:hAnsiTheme="minorHAnsi" w:cstheme="minorHAnsi"/>
          <w:b/>
          <w:bCs/>
        </w:rPr>
      </w:pPr>
    </w:p>
    <w:p w:rsidR="00B469E0" w:rsidRPr="00BF473E" w:rsidRDefault="00B469E0" w:rsidP="00362BB3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BF473E">
        <w:rPr>
          <w:rFonts w:asciiTheme="minorHAnsi" w:hAnsiTheme="minorHAnsi" w:cstheme="minorHAnsi"/>
          <w:b/>
          <w:bCs/>
          <w:sz w:val="22"/>
        </w:rPr>
        <w:t>Od roku 2010 se podařilo resortům v porovnání s rokem 2009 realizovat úsporná opatření</w:t>
      </w:r>
      <w:r w:rsidR="00BF473E" w:rsidRPr="00BF473E">
        <w:rPr>
          <w:rFonts w:asciiTheme="minorHAnsi" w:hAnsiTheme="minorHAnsi" w:cstheme="minorHAnsi"/>
          <w:b/>
          <w:bCs/>
          <w:sz w:val="22"/>
        </w:rPr>
        <w:t>,</w:t>
      </w:r>
      <w:r w:rsidRPr="00BF473E">
        <w:rPr>
          <w:rFonts w:asciiTheme="minorHAnsi" w:hAnsiTheme="minorHAnsi" w:cstheme="minorHAnsi"/>
          <w:b/>
          <w:bCs/>
          <w:sz w:val="22"/>
        </w:rPr>
        <w:t xml:space="preserve"> jejichž prostý kumulovaný přínos dosahuje hodnoty cca. 38 mil. Kč.</w:t>
      </w:r>
    </w:p>
    <w:p w:rsidR="00B469E0" w:rsidRPr="00BF473E" w:rsidRDefault="00B469E0" w:rsidP="00362BB3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>Tato data jsou výsledkem kumulace odchylek skutečně dosahov</w:t>
      </w:r>
      <w:r w:rsidR="00E5528B" w:rsidRPr="00BF473E">
        <w:rPr>
          <w:rFonts w:asciiTheme="minorHAnsi" w:hAnsiTheme="minorHAnsi" w:cstheme="minorHAnsi"/>
          <w:sz w:val="22"/>
        </w:rPr>
        <w:t>ané spotřeby energie v roce 2014</w:t>
      </w:r>
      <w:r w:rsidRPr="00BF473E">
        <w:rPr>
          <w:rFonts w:asciiTheme="minorHAnsi" w:hAnsiTheme="minorHAnsi" w:cstheme="minorHAnsi"/>
          <w:sz w:val="22"/>
        </w:rPr>
        <w:t xml:space="preserve"> od nastavených cílů. Jsou rozlišitelné na úrovni sledovaných objektů a energetických vstupů. Detailní výsledky této analýzy jsou součástí pravidelných reportů dostupných členům meziresortní pracovní skupiny.</w:t>
      </w:r>
    </w:p>
    <w:p w:rsidR="00B469E0" w:rsidRPr="00BF473E" w:rsidRDefault="00B469E0" w:rsidP="00362BB3">
      <w:pPr>
        <w:jc w:val="both"/>
        <w:rPr>
          <w:rFonts w:asciiTheme="minorHAnsi" w:hAnsiTheme="minorHAnsi" w:cstheme="minorHAnsi"/>
          <w:sz w:val="22"/>
        </w:rPr>
      </w:pPr>
      <w:r w:rsidRPr="00BF473E">
        <w:rPr>
          <w:rFonts w:asciiTheme="minorHAnsi" w:hAnsiTheme="minorHAnsi" w:cstheme="minorHAnsi"/>
          <w:sz w:val="22"/>
        </w:rPr>
        <w:t xml:space="preserve">Je proto také možné porovnat přínosy jednotlivých resortů k celkově dosahovaným úsporám. Výsledky porovnání znázorňuje </w:t>
      </w:r>
      <w:r w:rsidR="00E5528B" w:rsidRPr="00BF473E">
        <w:rPr>
          <w:rFonts w:asciiTheme="minorHAnsi" w:hAnsiTheme="minorHAnsi" w:cstheme="minorHAnsi"/>
          <w:sz w:val="22"/>
        </w:rPr>
        <w:fldChar w:fldCharType="begin"/>
      </w:r>
      <w:r w:rsidR="00E5528B" w:rsidRPr="00BF473E">
        <w:rPr>
          <w:rFonts w:asciiTheme="minorHAnsi" w:hAnsiTheme="minorHAnsi" w:cstheme="minorHAnsi"/>
          <w:sz w:val="22"/>
        </w:rPr>
        <w:instrText xml:space="preserve"> REF _Ref291569750 \h  \* MERGEFORMAT </w:instrText>
      </w:r>
      <w:r w:rsidR="00E5528B" w:rsidRPr="00BF473E">
        <w:rPr>
          <w:rFonts w:asciiTheme="minorHAnsi" w:hAnsiTheme="minorHAnsi" w:cstheme="minorHAnsi"/>
          <w:sz w:val="22"/>
        </w:rPr>
      </w:r>
      <w:r w:rsidR="00E5528B" w:rsidRPr="00BF473E">
        <w:rPr>
          <w:rFonts w:asciiTheme="minorHAnsi" w:hAnsiTheme="minorHAnsi" w:cstheme="minorHAnsi"/>
          <w:sz w:val="22"/>
        </w:rPr>
        <w:fldChar w:fldCharType="separate"/>
      </w:r>
      <w:r w:rsidR="00026E11" w:rsidRPr="00026E11">
        <w:rPr>
          <w:rFonts w:asciiTheme="minorHAnsi" w:hAnsiTheme="minorHAnsi" w:cstheme="minorHAnsi"/>
          <w:sz w:val="22"/>
        </w:rPr>
        <w:t>Graf 7</w:t>
      </w:r>
      <w:r w:rsidR="00E5528B" w:rsidRPr="00BF473E">
        <w:rPr>
          <w:rFonts w:asciiTheme="minorHAnsi" w:hAnsiTheme="minorHAnsi" w:cstheme="minorHAnsi"/>
          <w:sz w:val="22"/>
        </w:rPr>
        <w:fldChar w:fldCharType="end"/>
      </w:r>
      <w:r w:rsidRPr="00BF473E">
        <w:rPr>
          <w:rFonts w:asciiTheme="minorHAnsi" w:hAnsiTheme="minorHAnsi" w:cstheme="minorHAnsi"/>
          <w:sz w:val="22"/>
        </w:rPr>
        <w:t>.</w:t>
      </w:r>
    </w:p>
    <w:p w:rsidR="00B469E0" w:rsidRPr="00BF473E" w:rsidRDefault="005641A4" w:rsidP="005D5C1E">
      <w:pPr>
        <w:jc w:val="both"/>
        <w:rPr>
          <w:rFonts w:asciiTheme="minorHAnsi" w:hAnsiTheme="minorHAnsi" w:cstheme="minorHAnsi"/>
        </w:rPr>
      </w:pPr>
      <w:r w:rsidRPr="00BF473E">
        <w:rPr>
          <w:rFonts w:asciiTheme="minorHAnsi" w:hAnsiTheme="minorHAnsi" w:cstheme="minorHAnsi"/>
          <w:noProof/>
          <w:lang w:eastAsia="cs-CZ"/>
        </w:rPr>
        <w:lastRenderedPageBreak/>
        <w:drawing>
          <wp:inline distT="0" distB="0" distL="0" distR="0" wp14:anchorId="28654C53" wp14:editId="512DE0AC">
            <wp:extent cx="5086350" cy="31623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0" w:rsidRPr="00BF473E" w:rsidRDefault="00B469E0" w:rsidP="00455864">
      <w:pPr>
        <w:pStyle w:val="Titulek"/>
        <w:rPr>
          <w:rFonts w:asciiTheme="minorHAnsi" w:hAnsiTheme="minorHAnsi" w:cstheme="minorHAnsi"/>
        </w:rPr>
      </w:pPr>
      <w:bookmarkStart w:id="18" w:name="_Ref291569750"/>
      <w:r w:rsidRPr="00BF473E">
        <w:rPr>
          <w:rFonts w:asciiTheme="minorHAnsi" w:hAnsiTheme="minorHAnsi" w:cstheme="minorHAnsi"/>
        </w:rPr>
        <w:t xml:space="preserve">Graf </w:t>
      </w:r>
      <w:r w:rsidR="006855A6" w:rsidRPr="00BF473E">
        <w:rPr>
          <w:rFonts w:asciiTheme="minorHAnsi" w:hAnsiTheme="minorHAnsi" w:cstheme="minorHAnsi"/>
        </w:rPr>
        <w:fldChar w:fldCharType="begin"/>
      </w:r>
      <w:r w:rsidR="006855A6" w:rsidRPr="00BF473E">
        <w:rPr>
          <w:rFonts w:asciiTheme="minorHAnsi" w:hAnsiTheme="minorHAnsi" w:cstheme="minorHAnsi"/>
        </w:rPr>
        <w:instrText xml:space="preserve"> SEQ Graf \* ARABIC </w:instrText>
      </w:r>
      <w:r w:rsidR="006855A6" w:rsidRPr="00BF473E">
        <w:rPr>
          <w:rFonts w:asciiTheme="minorHAnsi" w:hAnsiTheme="minorHAnsi" w:cstheme="minorHAnsi"/>
        </w:rPr>
        <w:fldChar w:fldCharType="separate"/>
      </w:r>
      <w:r w:rsidR="00026E11">
        <w:rPr>
          <w:rFonts w:asciiTheme="minorHAnsi" w:hAnsiTheme="minorHAnsi" w:cstheme="minorHAnsi"/>
          <w:noProof/>
        </w:rPr>
        <w:t>7</w:t>
      </w:r>
      <w:r w:rsidR="006855A6" w:rsidRPr="00BF473E">
        <w:rPr>
          <w:rFonts w:asciiTheme="minorHAnsi" w:hAnsiTheme="minorHAnsi" w:cstheme="minorHAnsi"/>
          <w:noProof/>
        </w:rPr>
        <w:fldChar w:fldCharType="end"/>
      </w:r>
      <w:bookmarkEnd w:id="18"/>
      <w:r w:rsidRPr="00BF473E">
        <w:rPr>
          <w:rFonts w:asciiTheme="minorHAnsi" w:hAnsiTheme="minorHAnsi" w:cstheme="minorHAnsi"/>
        </w:rPr>
        <w:t xml:space="preserve"> – Příspěvky resortů k úspoře dosažené v roce 2014</w:t>
      </w:r>
    </w:p>
    <w:p w:rsidR="00B469E0" w:rsidRPr="00BF473E" w:rsidRDefault="00B469E0" w:rsidP="00CD2EEF">
      <w:pPr>
        <w:pStyle w:val="Nadpis1"/>
        <w:rPr>
          <w:rFonts w:asciiTheme="minorHAnsi" w:hAnsiTheme="minorHAnsi" w:cstheme="minorHAnsi"/>
        </w:rPr>
      </w:pPr>
      <w:bookmarkStart w:id="19" w:name="_Toc419970726"/>
      <w:r w:rsidRPr="00BF473E">
        <w:rPr>
          <w:rFonts w:asciiTheme="minorHAnsi" w:hAnsiTheme="minorHAnsi" w:cstheme="minorHAnsi"/>
        </w:rPr>
        <w:lastRenderedPageBreak/>
        <w:t>Závěr</w:t>
      </w:r>
      <w:bookmarkEnd w:id="19"/>
    </w:p>
    <w:p w:rsidR="00B469E0" w:rsidRPr="008156A1" w:rsidRDefault="00B469E0" w:rsidP="00886751">
      <w:pPr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Systém monitorování spotřeby energie ve vybraných objektech vládních budov je provozován v souladu s plánem. Výsledky roku 2014 lze hodnotit jako úspěšné. V průběhu roku 2014 se dařilo plnit všechny vytyčené hlavní cíle: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Dosažené úspory výrazně převyšují náklady na provoz Systému energetického řízení ve vybraných objektech vládních institucí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Infrastruktura a metodika monitorování spotřeby energie vládních institucí je připravena pro rozšíření systému na objekty, jichž se týká článek 5 Směrnice o energetické účinnosti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Resorty aktivně pracují na realizaci úsporných opatření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Pravidelný reporting je v jednotné struktuře dostupný</w:t>
      </w:r>
      <w:r w:rsidR="008156A1">
        <w:rPr>
          <w:rFonts w:asciiTheme="minorHAnsi" w:hAnsiTheme="minorHAnsi" w:cstheme="minorHAnsi"/>
          <w:sz w:val="22"/>
        </w:rPr>
        <w:t xml:space="preserve"> všem členům pracovní skupiny a </w:t>
      </w:r>
      <w:r w:rsidRPr="008156A1">
        <w:rPr>
          <w:rFonts w:asciiTheme="minorHAnsi" w:hAnsiTheme="minorHAnsi" w:cstheme="minorHAnsi"/>
          <w:sz w:val="22"/>
        </w:rPr>
        <w:t>sjednocuje tak přístup jednotlivých resortů k problematice energetického řízení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 xml:space="preserve">Vytvořená meziresortní pracovní skupina je dobrou platformou pro koordinaci činnosti resortních energetiků v oblasti energetického managementu a pro výměnu </w:t>
      </w:r>
      <w:r w:rsidR="008156A1">
        <w:rPr>
          <w:rFonts w:asciiTheme="minorHAnsi" w:hAnsiTheme="minorHAnsi" w:cstheme="minorHAnsi"/>
          <w:sz w:val="22"/>
        </w:rPr>
        <w:t>informací a </w:t>
      </w:r>
      <w:r w:rsidRPr="008156A1">
        <w:rPr>
          <w:rFonts w:asciiTheme="minorHAnsi" w:hAnsiTheme="minorHAnsi" w:cstheme="minorHAnsi"/>
          <w:sz w:val="22"/>
        </w:rPr>
        <w:t>zkušeností</w:t>
      </w:r>
    </w:p>
    <w:p w:rsidR="00B469E0" w:rsidRPr="008156A1" w:rsidRDefault="00B469E0" w:rsidP="00886751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2"/>
        </w:rPr>
      </w:pPr>
      <w:r w:rsidRPr="008156A1">
        <w:rPr>
          <w:rFonts w:asciiTheme="minorHAnsi" w:hAnsiTheme="minorHAnsi" w:cstheme="minorHAnsi"/>
          <w:sz w:val="22"/>
        </w:rPr>
        <w:t>Administrátor systému je resortním energetikům k dispo</w:t>
      </w:r>
      <w:r w:rsidR="008156A1">
        <w:rPr>
          <w:rFonts w:asciiTheme="minorHAnsi" w:hAnsiTheme="minorHAnsi" w:cstheme="minorHAnsi"/>
          <w:sz w:val="22"/>
        </w:rPr>
        <w:t>zici v roli odborného garanta a </w:t>
      </w:r>
      <w:r w:rsidR="00586870">
        <w:rPr>
          <w:rFonts w:asciiTheme="minorHAnsi" w:hAnsiTheme="minorHAnsi" w:cstheme="minorHAnsi"/>
          <w:sz w:val="22"/>
        </w:rPr>
        <w:t xml:space="preserve"> </w:t>
      </w:r>
      <w:r w:rsidRPr="008156A1">
        <w:rPr>
          <w:rFonts w:asciiTheme="minorHAnsi" w:hAnsiTheme="minorHAnsi" w:cstheme="minorHAnsi"/>
          <w:sz w:val="22"/>
        </w:rPr>
        <w:t>pomáhá jim řešit problémy, se kterými se na něj obracejí</w:t>
      </w:r>
    </w:p>
    <w:p w:rsidR="00B469E0" w:rsidRPr="008156A1" w:rsidRDefault="00026E11" w:rsidP="00886751">
      <w:pPr>
        <w:jc w:val="both"/>
        <w:rPr>
          <w:rFonts w:asciiTheme="minorHAnsi" w:hAnsiTheme="minorHAnsi" w:cstheme="minorHAnsi"/>
          <w:sz w:val="22"/>
        </w:rPr>
      </w:pPr>
      <w:r w:rsidRPr="00026E11">
        <w:rPr>
          <w:rFonts w:asciiTheme="minorHAnsi" w:hAnsiTheme="minorHAnsi" w:cstheme="minorHAnsi"/>
          <w:sz w:val="22"/>
        </w:rPr>
        <w:t>Dle novelizace zákona č. 406/2000 Sb., o hospodaření energií, s účinností od 1. července 2015 bude dle § 9b, odst. 3 systém monitoringu spotřeby energie neveřejným informačním systémem veřejné správy, který bude sloužit k vedení údajů o budovách vlastněných a užívaných ústředními institucemi o celkové energeticky vztažné ploše nad 250 m2 a jejich spotřebě energie. Ústřední instituce každoročně nejpozději do konce prvního čtvrtletí následujícího kalendářního roku zadávají způsobem umožňujícím dálkový přístup tyto údaje do Systému monitoringu spotřeby energie. Údaje vedené v Systému monitoringu spotřeby energie stanoví prováděcí právní předpis.</w:t>
      </w:r>
    </w:p>
    <w:sectPr w:rsidR="00B469E0" w:rsidRPr="008156A1" w:rsidSect="00C43EF2">
      <w:headerReference w:type="default" r:id="rId22"/>
      <w:pgSz w:w="11906" w:h="16838"/>
      <w:pgMar w:top="1382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E0" w:rsidRDefault="00B469E0">
      <w:r>
        <w:separator/>
      </w:r>
    </w:p>
  </w:endnote>
  <w:endnote w:type="continuationSeparator" w:id="0">
    <w:p w:rsidR="00B469E0" w:rsidRDefault="00B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BF" w:rsidRDefault="00500A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E0" w:rsidRDefault="00E5528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00ABF">
      <w:rPr>
        <w:noProof/>
      </w:rPr>
      <w:t>1</w:t>
    </w:r>
    <w:r>
      <w:rPr>
        <w:noProof/>
      </w:rPr>
      <w:fldChar w:fldCharType="end"/>
    </w:r>
  </w:p>
  <w:p w:rsidR="00B469E0" w:rsidRDefault="00B469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BF" w:rsidRDefault="00500AB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E0" w:rsidRDefault="00B469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E0" w:rsidRDefault="00B469E0">
      <w:r>
        <w:separator/>
      </w:r>
    </w:p>
  </w:footnote>
  <w:footnote w:type="continuationSeparator" w:id="0">
    <w:p w:rsidR="00B469E0" w:rsidRDefault="00B469E0">
      <w:r>
        <w:continuationSeparator/>
      </w:r>
    </w:p>
  </w:footnote>
  <w:footnote w:id="1">
    <w:p w:rsidR="00B469E0" w:rsidRPr="00BF473E" w:rsidRDefault="00B469E0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BF473E">
        <w:rPr>
          <w:rFonts w:asciiTheme="minorHAnsi" w:hAnsiTheme="minorHAnsi" w:cstheme="minorHAnsi"/>
        </w:rPr>
        <w:t>o vyhodnocení Státního programu na podporu úspor energie a využití obnovitelných zdrojů energie pro rok 2006 a Analýze efektivnosti a účinnosti Státního programu na podporu úspor energie a vyššího využití obnovitelných zdrojů energie za uplynulé období</w:t>
      </w:r>
    </w:p>
  </w:footnote>
  <w:footnote w:id="2">
    <w:p w:rsidR="00B469E0" w:rsidRPr="00BF473E" w:rsidRDefault="00B469E0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BF473E">
        <w:rPr>
          <w:rFonts w:asciiTheme="minorHAnsi" w:hAnsiTheme="minorHAnsi" w:cstheme="minorHAnsi"/>
        </w:rPr>
        <w:t>Kumulované úspory energie zohledňují pouze přínosy v oblasti úspory množství spotřebované energie. Úspory dosažené snížením ceny nakupované energie je třeba dodatečně přičíst.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BF" w:rsidRDefault="00500A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Default="004F704F">
    <w:pPr>
      <w:pStyle w:val="Zhlav"/>
    </w:pPr>
  </w:p>
  <w:p w:rsidR="004F704F" w:rsidRPr="004F704F" w:rsidRDefault="00500ABF" w:rsidP="004F704F">
    <w:pPr>
      <w:pStyle w:val="Zhlav"/>
      <w:jc w:val="center"/>
      <w:rPr>
        <w:b/>
        <w:sz w:val="32"/>
      </w:rPr>
    </w:pPr>
    <w:r>
      <w:rPr>
        <w:rFonts w:asciiTheme="minorHAnsi" w:hAnsiTheme="minorHAnsi" w:cstheme="minorHAnsi"/>
        <w:b/>
        <w:sz w:val="44"/>
      </w:rPr>
      <w:t xml:space="preserve">2) </w:t>
    </w:r>
    <w:bookmarkStart w:id="0" w:name="_GoBack"/>
    <w:bookmarkEnd w:id="0"/>
    <w:r w:rsidR="004F704F" w:rsidRPr="004F704F">
      <w:rPr>
        <w:rFonts w:asciiTheme="minorHAnsi" w:hAnsiTheme="minorHAnsi" w:cstheme="minorHAnsi"/>
        <w:b/>
        <w:sz w:val="44"/>
      </w:rPr>
      <w:t xml:space="preserve">Zpráva o systému monitorování spotřeby </w:t>
    </w:r>
    <w:r w:rsidR="009A4304">
      <w:rPr>
        <w:rFonts w:asciiTheme="minorHAnsi" w:hAnsiTheme="minorHAnsi" w:cstheme="minorHAnsi"/>
        <w:b/>
        <w:sz w:val="44"/>
      </w:rPr>
      <w:t xml:space="preserve">a úspor </w:t>
    </w:r>
    <w:r w:rsidR="004F704F" w:rsidRPr="004F704F">
      <w:rPr>
        <w:rFonts w:asciiTheme="minorHAnsi" w:hAnsiTheme="minorHAnsi" w:cstheme="minorHAnsi"/>
        <w:b/>
        <w:sz w:val="44"/>
      </w:rPr>
      <w:t xml:space="preserve">energie </w:t>
    </w:r>
    <w:r w:rsidR="009A4304">
      <w:rPr>
        <w:rFonts w:asciiTheme="minorHAnsi" w:hAnsiTheme="minorHAnsi" w:cstheme="minorHAnsi"/>
        <w:b/>
        <w:sz w:val="44"/>
      </w:rPr>
      <w:t xml:space="preserve">v budovách </w:t>
    </w:r>
    <w:r w:rsidR="004F704F" w:rsidRPr="004F704F">
      <w:rPr>
        <w:rFonts w:asciiTheme="minorHAnsi" w:hAnsiTheme="minorHAnsi" w:cstheme="minorHAnsi"/>
        <w:b/>
        <w:sz w:val="44"/>
      </w:rPr>
      <w:t xml:space="preserve">vládních </w:t>
    </w:r>
    <w:r w:rsidR="009A4304">
      <w:rPr>
        <w:rFonts w:asciiTheme="minorHAnsi" w:hAnsiTheme="minorHAnsi" w:cstheme="minorHAnsi"/>
        <w:b/>
        <w:sz w:val="44"/>
      </w:rPr>
      <w:t>institucí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BF" w:rsidRDefault="00500AB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E0" w:rsidRDefault="005641A4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posOffset>1533525</wp:posOffset>
              </wp:positionH>
              <wp:positionV relativeFrom="page">
                <wp:posOffset>1118870</wp:posOffset>
              </wp:positionV>
              <wp:extent cx="5173980" cy="250825"/>
              <wp:effectExtent l="0" t="444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E0" w:rsidRDefault="00B469E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OBSAH</w:t>
                          </w:r>
                        </w:p>
                        <w:p w:rsidR="00B469E0" w:rsidRDefault="00B469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0.75pt;margin-top:88.1pt;width:407.4pt;height: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V3qw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" filled="f" stroked="f">
              <v:textbox inset="0,0,0,0">
                <w:txbxContent>
                  <w:p w:rsidR="00B469E0" w:rsidRDefault="00B469E0">
                    <w:pPr>
                      <w:jc w:val="right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OBSAH</w:t>
                    </w:r>
                  </w:p>
                  <w:p w:rsidR="00B469E0" w:rsidRDefault="00B469E0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B469E0" w:rsidRDefault="00B469E0">
    <w:pPr>
      <w:pStyle w:val="Zhlav"/>
      <w:tabs>
        <w:tab w:val="clear" w:pos="4153"/>
        <w:tab w:val="clear" w:pos="8306"/>
        <w:tab w:val="left" w:pos="5267"/>
      </w:tabs>
    </w:pPr>
    <w:r>
      <w:tab/>
    </w:r>
  </w:p>
  <w:p w:rsidR="00B469E0" w:rsidRDefault="00B469E0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E0" w:rsidRDefault="005641A4" w:rsidP="00262C87">
    <w:pPr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413385</wp:posOffset>
              </wp:positionV>
              <wp:extent cx="5979160" cy="28575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E0" w:rsidRPr="008A6ABE" w:rsidRDefault="00B469E0" w:rsidP="00262C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  <w:r w:rsidRPr="008A6AB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ZPRÁVA O SYSTÉMU MONITOROVÁNÍ SPOTŘEBY</w:t>
                          </w:r>
                          <w:r w:rsidR="00262C87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 xml:space="preserve"> a ÚSPOR</w:t>
                          </w:r>
                          <w:r w:rsidRPr="008A6AB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 xml:space="preserve"> ENERGIE</w:t>
                          </w:r>
                          <w:r w:rsidR="00262C87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 xml:space="preserve"> V BUDOVÁCH</w:t>
                          </w:r>
                          <w:r w:rsidRPr="008A6AB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 xml:space="preserve"> VLÁDNÍCH </w:t>
                          </w:r>
                          <w:r w:rsidR="00262C87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INSTITUCÍ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70.1pt;margin-top:32.55pt;width:470.8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jDsA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" filled="f" stroked="f">
              <v:textbox inset="0,0,0,0">
                <w:txbxContent>
                  <w:p w:rsidR="00B469E0" w:rsidRPr="008A6ABE" w:rsidRDefault="00B469E0" w:rsidP="00262C8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  <w:r w:rsidRPr="008A6ABE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ZPRÁVA O SYSTÉMU MONITOROVÁNÍ SPOTŘEBY</w:t>
                    </w:r>
                    <w:r w:rsidR="00262C87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 xml:space="preserve"> a ÚSPOR</w:t>
                    </w:r>
                    <w:r w:rsidRPr="008A6ABE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 xml:space="preserve"> ENERGIE</w:t>
                    </w:r>
                    <w:r w:rsidR="00262C87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 xml:space="preserve"> V BUDOVÁCH</w:t>
                    </w:r>
                    <w:r w:rsidRPr="008A6ABE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 xml:space="preserve"> VLÁDNÍCH </w:t>
                    </w:r>
                    <w:r w:rsidR="00262C87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INSTITUCÍ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7D4"/>
    <w:multiLevelType w:val="hybridMultilevel"/>
    <w:tmpl w:val="161EC8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3395D"/>
    <w:multiLevelType w:val="multilevel"/>
    <w:tmpl w:val="2284764C"/>
    <w:lvl w:ilvl="0">
      <w:start w:val="1"/>
      <w:numFmt w:val="decimal"/>
      <w:pStyle w:val="FigureHeading"/>
      <w:lvlText w:val="Obrázek %1:"/>
      <w:lvlJc w:val="left"/>
      <w:pPr>
        <w:tabs>
          <w:tab w:val="num" w:pos="2367"/>
        </w:tabs>
        <w:ind w:left="1272" w:hanging="705"/>
      </w:pPr>
      <w:rPr>
        <w:rFonts w:ascii="Arial" w:hAnsi="Arial" w:cs="Arial" w:hint="default"/>
        <w:b/>
        <w:bCs/>
        <w:i w:val="0"/>
        <w:iCs w:val="0"/>
      </w:rPr>
    </w:lvl>
    <w:lvl w:ilvl="1">
      <w:start w:val="2"/>
      <w:numFmt w:val="decimal"/>
      <w:lvlText w:val="2.%2"/>
      <w:lvlJc w:val="left"/>
      <w:pPr>
        <w:tabs>
          <w:tab w:val="num" w:pos="1975"/>
        </w:tabs>
        <w:ind w:left="1975" w:hanging="705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2693"/>
        </w:tabs>
        <w:ind w:left="26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6"/>
        </w:tabs>
        <w:ind w:left="3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9"/>
        </w:tabs>
        <w:ind w:left="445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2"/>
        </w:tabs>
        <w:ind w:left="51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25"/>
        </w:tabs>
        <w:ind w:left="62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28"/>
        </w:tabs>
        <w:ind w:left="69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91"/>
        </w:tabs>
        <w:ind w:left="7991" w:hanging="1800"/>
      </w:pPr>
      <w:rPr>
        <w:rFonts w:hint="default"/>
      </w:rPr>
    </w:lvl>
  </w:abstractNum>
  <w:abstractNum w:abstractNumId="2" w15:restartNumberingAfterBreak="0">
    <w:nsid w:val="1C342E49"/>
    <w:multiLevelType w:val="hybridMultilevel"/>
    <w:tmpl w:val="B7780222"/>
    <w:lvl w:ilvl="0" w:tplc="3CE20ED4">
      <w:start w:val="1"/>
      <w:numFmt w:val="decimal"/>
      <w:pStyle w:val="NumberText"/>
      <w:lvlText w:val="%1."/>
      <w:lvlJc w:val="left"/>
      <w:pPr>
        <w:tabs>
          <w:tab w:val="num" w:pos="1287"/>
        </w:tabs>
        <w:ind w:left="12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6FF49B3"/>
    <w:multiLevelType w:val="hybridMultilevel"/>
    <w:tmpl w:val="C3AAF6E2"/>
    <w:lvl w:ilvl="0" w:tplc="A678CEB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MS Mincho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E60691"/>
    <w:multiLevelType w:val="hybridMultilevel"/>
    <w:tmpl w:val="36A82706"/>
    <w:lvl w:ilvl="0" w:tplc="948069A0">
      <w:start w:val="1"/>
      <w:numFmt w:val="bullet"/>
      <w:pStyle w:val="BulletText"/>
      <w:lvlText w:val=""/>
      <w:lvlJc w:val="left"/>
      <w:pPr>
        <w:tabs>
          <w:tab w:val="num" w:pos="927"/>
        </w:tabs>
        <w:ind w:left="927" w:hanging="360"/>
      </w:pPr>
      <w:rPr>
        <w:rFonts w:ascii="Wingdings 2" w:hAnsi="Wingdings 2" w:cs="Wingdings 2" w:hint="default"/>
        <w:sz w:val="14"/>
        <w:szCs w:val="14"/>
      </w:rPr>
    </w:lvl>
    <w:lvl w:ilvl="1" w:tplc="08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1B60FB"/>
    <w:multiLevelType w:val="hybridMultilevel"/>
    <w:tmpl w:val="25ACBB06"/>
    <w:lvl w:ilvl="0" w:tplc="D36C8F7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MS Mincho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071169"/>
    <w:multiLevelType w:val="multilevel"/>
    <w:tmpl w:val="C2ACB1EC"/>
    <w:lvl w:ilvl="0">
      <w:start w:val="1"/>
      <w:numFmt w:val="decimal"/>
      <w:pStyle w:val="Nadpis1"/>
      <w:lvlText w:val="%1."/>
      <w:lvlJc w:val="left"/>
      <w:pPr>
        <w:tabs>
          <w:tab w:val="num" w:pos="1494"/>
        </w:tabs>
        <w:ind w:left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854"/>
        </w:tabs>
        <w:ind w:left="113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54"/>
        </w:tabs>
        <w:ind w:left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854"/>
        </w:tabs>
        <w:ind w:left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021" w:hanging="1440"/>
      </w:pPr>
      <w:rPr>
        <w:rFonts w:hint="default"/>
      </w:rPr>
    </w:lvl>
  </w:abstractNum>
  <w:abstractNum w:abstractNumId="7" w15:restartNumberingAfterBreak="0">
    <w:nsid w:val="4F7C2002"/>
    <w:multiLevelType w:val="multilevel"/>
    <w:tmpl w:val="F9107654"/>
    <w:lvl w:ilvl="0">
      <w:start w:val="1"/>
      <w:numFmt w:val="decimal"/>
      <w:pStyle w:val="TableHeading"/>
      <w:lvlText w:val="Tabulka %1:"/>
      <w:lvlJc w:val="left"/>
      <w:pPr>
        <w:tabs>
          <w:tab w:val="num" w:pos="1647"/>
        </w:tabs>
        <w:ind w:left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60CC4073"/>
    <w:multiLevelType w:val="multilevel"/>
    <w:tmpl w:val="55AAB56E"/>
    <w:lvl w:ilvl="0">
      <w:start w:val="1"/>
      <w:numFmt w:val="decimal"/>
      <w:pStyle w:val="AppendixNo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671C77A4"/>
    <w:multiLevelType w:val="hybridMultilevel"/>
    <w:tmpl w:val="3F005E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61"/>
    <w:rsid w:val="00005C7A"/>
    <w:rsid w:val="00007CE6"/>
    <w:rsid w:val="0002001B"/>
    <w:rsid w:val="00026E11"/>
    <w:rsid w:val="00030EE5"/>
    <w:rsid w:val="00041C23"/>
    <w:rsid w:val="00046146"/>
    <w:rsid w:val="000659A8"/>
    <w:rsid w:val="00075398"/>
    <w:rsid w:val="00087242"/>
    <w:rsid w:val="000A7287"/>
    <w:rsid w:val="000B330D"/>
    <w:rsid w:val="000B6753"/>
    <w:rsid w:val="000C2585"/>
    <w:rsid w:val="000C5DBD"/>
    <w:rsid w:val="000E55C2"/>
    <w:rsid w:val="000F0EF1"/>
    <w:rsid w:val="000F6AE8"/>
    <w:rsid w:val="00101514"/>
    <w:rsid w:val="00112B5F"/>
    <w:rsid w:val="00113ADE"/>
    <w:rsid w:val="00115C98"/>
    <w:rsid w:val="00130354"/>
    <w:rsid w:val="0015485B"/>
    <w:rsid w:val="00155F84"/>
    <w:rsid w:val="001653DA"/>
    <w:rsid w:val="0018471A"/>
    <w:rsid w:val="00196E32"/>
    <w:rsid w:val="001A6158"/>
    <w:rsid w:val="001D2D0B"/>
    <w:rsid w:val="002258CF"/>
    <w:rsid w:val="002317AE"/>
    <w:rsid w:val="00262C7B"/>
    <w:rsid w:val="00262C87"/>
    <w:rsid w:val="00265FC9"/>
    <w:rsid w:val="0027413F"/>
    <w:rsid w:val="002766D5"/>
    <w:rsid w:val="00284591"/>
    <w:rsid w:val="002915E4"/>
    <w:rsid w:val="002C193A"/>
    <w:rsid w:val="002C5298"/>
    <w:rsid w:val="002D3E85"/>
    <w:rsid w:val="002D4C4D"/>
    <w:rsid w:val="002D5D00"/>
    <w:rsid w:val="002F0292"/>
    <w:rsid w:val="00314114"/>
    <w:rsid w:val="0033497A"/>
    <w:rsid w:val="00353170"/>
    <w:rsid w:val="003540AC"/>
    <w:rsid w:val="00362BB3"/>
    <w:rsid w:val="0038405A"/>
    <w:rsid w:val="00384F00"/>
    <w:rsid w:val="00390CC1"/>
    <w:rsid w:val="003A56ED"/>
    <w:rsid w:val="003A5D43"/>
    <w:rsid w:val="003A79B9"/>
    <w:rsid w:val="003B6598"/>
    <w:rsid w:val="003C663A"/>
    <w:rsid w:val="003C7833"/>
    <w:rsid w:val="003D238C"/>
    <w:rsid w:val="003D23FC"/>
    <w:rsid w:val="003D72D6"/>
    <w:rsid w:val="003F3A02"/>
    <w:rsid w:val="0040026D"/>
    <w:rsid w:val="00400A18"/>
    <w:rsid w:val="0041306E"/>
    <w:rsid w:val="004140A6"/>
    <w:rsid w:val="00415E1E"/>
    <w:rsid w:val="004462F5"/>
    <w:rsid w:val="004523ED"/>
    <w:rsid w:val="00455864"/>
    <w:rsid w:val="0048173A"/>
    <w:rsid w:val="00486ACB"/>
    <w:rsid w:val="00490B80"/>
    <w:rsid w:val="004A7FE9"/>
    <w:rsid w:val="004B495B"/>
    <w:rsid w:val="004E5F76"/>
    <w:rsid w:val="004F1443"/>
    <w:rsid w:val="004F704F"/>
    <w:rsid w:val="00500ABF"/>
    <w:rsid w:val="00500D60"/>
    <w:rsid w:val="0050712D"/>
    <w:rsid w:val="00512319"/>
    <w:rsid w:val="00513581"/>
    <w:rsid w:val="005235A9"/>
    <w:rsid w:val="00527007"/>
    <w:rsid w:val="005312E8"/>
    <w:rsid w:val="005544A5"/>
    <w:rsid w:val="00555869"/>
    <w:rsid w:val="005641A4"/>
    <w:rsid w:val="00571999"/>
    <w:rsid w:val="005726D5"/>
    <w:rsid w:val="00574F75"/>
    <w:rsid w:val="00576C6F"/>
    <w:rsid w:val="00576C8A"/>
    <w:rsid w:val="005848E4"/>
    <w:rsid w:val="00586870"/>
    <w:rsid w:val="00595F34"/>
    <w:rsid w:val="005C1FEA"/>
    <w:rsid w:val="005C717B"/>
    <w:rsid w:val="005D5C1E"/>
    <w:rsid w:val="005D7001"/>
    <w:rsid w:val="005E734B"/>
    <w:rsid w:val="005F4830"/>
    <w:rsid w:val="005F6CF4"/>
    <w:rsid w:val="00600055"/>
    <w:rsid w:val="00611821"/>
    <w:rsid w:val="0061198F"/>
    <w:rsid w:val="00630D48"/>
    <w:rsid w:val="0063236D"/>
    <w:rsid w:val="006341BA"/>
    <w:rsid w:val="00636509"/>
    <w:rsid w:val="006416F0"/>
    <w:rsid w:val="00646EB3"/>
    <w:rsid w:val="006611C7"/>
    <w:rsid w:val="006702A2"/>
    <w:rsid w:val="00684102"/>
    <w:rsid w:val="006855A6"/>
    <w:rsid w:val="00692353"/>
    <w:rsid w:val="00696AAA"/>
    <w:rsid w:val="006A72B8"/>
    <w:rsid w:val="006C5035"/>
    <w:rsid w:val="006C5286"/>
    <w:rsid w:val="006D188A"/>
    <w:rsid w:val="006D2720"/>
    <w:rsid w:val="006D4689"/>
    <w:rsid w:val="006E1272"/>
    <w:rsid w:val="006E206F"/>
    <w:rsid w:val="00717AA0"/>
    <w:rsid w:val="007648D0"/>
    <w:rsid w:val="00770710"/>
    <w:rsid w:val="00775FDC"/>
    <w:rsid w:val="007771FB"/>
    <w:rsid w:val="00780999"/>
    <w:rsid w:val="007A270C"/>
    <w:rsid w:val="007A4AA4"/>
    <w:rsid w:val="007B6289"/>
    <w:rsid w:val="007D34DE"/>
    <w:rsid w:val="007F5727"/>
    <w:rsid w:val="0081489A"/>
    <w:rsid w:val="008156A1"/>
    <w:rsid w:val="00832BB7"/>
    <w:rsid w:val="008464AA"/>
    <w:rsid w:val="008546F9"/>
    <w:rsid w:val="00886751"/>
    <w:rsid w:val="008A6ABE"/>
    <w:rsid w:val="008B0948"/>
    <w:rsid w:val="008B7601"/>
    <w:rsid w:val="008B7E22"/>
    <w:rsid w:val="008C3AB8"/>
    <w:rsid w:val="008C5C52"/>
    <w:rsid w:val="008D20D3"/>
    <w:rsid w:val="008D24DE"/>
    <w:rsid w:val="008E293C"/>
    <w:rsid w:val="009157EE"/>
    <w:rsid w:val="00917BC3"/>
    <w:rsid w:val="00920992"/>
    <w:rsid w:val="00934A22"/>
    <w:rsid w:val="00937ACC"/>
    <w:rsid w:val="009432DE"/>
    <w:rsid w:val="00952FD0"/>
    <w:rsid w:val="009637D4"/>
    <w:rsid w:val="00973C6D"/>
    <w:rsid w:val="0097458E"/>
    <w:rsid w:val="00994B70"/>
    <w:rsid w:val="00996CFA"/>
    <w:rsid w:val="009A4304"/>
    <w:rsid w:val="009B0001"/>
    <w:rsid w:val="009B573F"/>
    <w:rsid w:val="009C2872"/>
    <w:rsid w:val="009C2C8E"/>
    <w:rsid w:val="009C3689"/>
    <w:rsid w:val="009C4FE7"/>
    <w:rsid w:val="009D7710"/>
    <w:rsid w:val="009E58A3"/>
    <w:rsid w:val="009F07CB"/>
    <w:rsid w:val="009F1E80"/>
    <w:rsid w:val="009F4963"/>
    <w:rsid w:val="009F7815"/>
    <w:rsid w:val="00A05A95"/>
    <w:rsid w:val="00A06410"/>
    <w:rsid w:val="00A10E0C"/>
    <w:rsid w:val="00A34DBB"/>
    <w:rsid w:val="00A35C48"/>
    <w:rsid w:val="00A373AC"/>
    <w:rsid w:val="00A379B1"/>
    <w:rsid w:val="00A37A19"/>
    <w:rsid w:val="00A447B7"/>
    <w:rsid w:val="00A511C9"/>
    <w:rsid w:val="00A63167"/>
    <w:rsid w:val="00A6663C"/>
    <w:rsid w:val="00A720FE"/>
    <w:rsid w:val="00A72B1E"/>
    <w:rsid w:val="00A73159"/>
    <w:rsid w:val="00A75419"/>
    <w:rsid w:val="00A935E2"/>
    <w:rsid w:val="00AA3BF5"/>
    <w:rsid w:val="00AB5CCB"/>
    <w:rsid w:val="00AC77E4"/>
    <w:rsid w:val="00AD4B85"/>
    <w:rsid w:val="00AF6FD4"/>
    <w:rsid w:val="00B00CD8"/>
    <w:rsid w:val="00B22A8B"/>
    <w:rsid w:val="00B307CE"/>
    <w:rsid w:val="00B469E0"/>
    <w:rsid w:val="00B51188"/>
    <w:rsid w:val="00B734ED"/>
    <w:rsid w:val="00B82D28"/>
    <w:rsid w:val="00B864F7"/>
    <w:rsid w:val="00B87D7A"/>
    <w:rsid w:val="00BB3C1C"/>
    <w:rsid w:val="00BB724B"/>
    <w:rsid w:val="00BC226F"/>
    <w:rsid w:val="00BF473E"/>
    <w:rsid w:val="00C00C74"/>
    <w:rsid w:val="00C01596"/>
    <w:rsid w:val="00C04542"/>
    <w:rsid w:val="00C14632"/>
    <w:rsid w:val="00C43CB8"/>
    <w:rsid w:val="00C43EF2"/>
    <w:rsid w:val="00C51BF6"/>
    <w:rsid w:val="00C66761"/>
    <w:rsid w:val="00C66C3C"/>
    <w:rsid w:val="00C670A7"/>
    <w:rsid w:val="00C8193F"/>
    <w:rsid w:val="00C81D91"/>
    <w:rsid w:val="00C83F0F"/>
    <w:rsid w:val="00C848ED"/>
    <w:rsid w:val="00C92EEA"/>
    <w:rsid w:val="00C93352"/>
    <w:rsid w:val="00C965F8"/>
    <w:rsid w:val="00CA0C46"/>
    <w:rsid w:val="00CA3084"/>
    <w:rsid w:val="00CA4712"/>
    <w:rsid w:val="00CB5883"/>
    <w:rsid w:val="00CD2EEF"/>
    <w:rsid w:val="00CD3BE4"/>
    <w:rsid w:val="00CD5DBF"/>
    <w:rsid w:val="00CD7583"/>
    <w:rsid w:val="00CD7A11"/>
    <w:rsid w:val="00CE4963"/>
    <w:rsid w:val="00D01651"/>
    <w:rsid w:val="00D028AE"/>
    <w:rsid w:val="00D06060"/>
    <w:rsid w:val="00D22031"/>
    <w:rsid w:val="00D22E68"/>
    <w:rsid w:val="00D27720"/>
    <w:rsid w:val="00D30F39"/>
    <w:rsid w:val="00D3401A"/>
    <w:rsid w:val="00D34EE7"/>
    <w:rsid w:val="00D371A3"/>
    <w:rsid w:val="00D46CEA"/>
    <w:rsid w:val="00D64941"/>
    <w:rsid w:val="00D651BD"/>
    <w:rsid w:val="00D9194F"/>
    <w:rsid w:val="00DA7D7A"/>
    <w:rsid w:val="00DB47C0"/>
    <w:rsid w:val="00DC40C7"/>
    <w:rsid w:val="00DC4953"/>
    <w:rsid w:val="00DD6CAA"/>
    <w:rsid w:val="00DE0F8F"/>
    <w:rsid w:val="00DE2709"/>
    <w:rsid w:val="00DE6F3B"/>
    <w:rsid w:val="00DE72E7"/>
    <w:rsid w:val="00DE77CB"/>
    <w:rsid w:val="00DF0B5E"/>
    <w:rsid w:val="00DF36A7"/>
    <w:rsid w:val="00DF5474"/>
    <w:rsid w:val="00E036E6"/>
    <w:rsid w:val="00E1326C"/>
    <w:rsid w:val="00E436AF"/>
    <w:rsid w:val="00E43FEE"/>
    <w:rsid w:val="00E54057"/>
    <w:rsid w:val="00E5528B"/>
    <w:rsid w:val="00E613DB"/>
    <w:rsid w:val="00E64ECA"/>
    <w:rsid w:val="00E70A6F"/>
    <w:rsid w:val="00E70E99"/>
    <w:rsid w:val="00E73239"/>
    <w:rsid w:val="00E754F9"/>
    <w:rsid w:val="00E80479"/>
    <w:rsid w:val="00E86151"/>
    <w:rsid w:val="00EA213A"/>
    <w:rsid w:val="00EA500B"/>
    <w:rsid w:val="00EB0286"/>
    <w:rsid w:val="00EC65D8"/>
    <w:rsid w:val="00EC7DE0"/>
    <w:rsid w:val="00EE7C9B"/>
    <w:rsid w:val="00EF093C"/>
    <w:rsid w:val="00EF717B"/>
    <w:rsid w:val="00F005EA"/>
    <w:rsid w:val="00F03A27"/>
    <w:rsid w:val="00F45B58"/>
    <w:rsid w:val="00F571EC"/>
    <w:rsid w:val="00F62C24"/>
    <w:rsid w:val="00F65252"/>
    <w:rsid w:val="00F81A38"/>
    <w:rsid w:val="00FA2133"/>
    <w:rsid w:val="00FA496C"/>
    <w:rsid w:val="00FB6028"/>
    <w:rsid w:val="00FC007D"/>
    <w:rsid w:val="00FC0BB4"/>
    <w:rsid w:val="00FC48A8"/>
    <w:rsid w:val="00FD3BF1"/>
    <w:rsid w:val="00FD54F4"/>
    <w:rsid w:val="00FE0115"/>
    <w:rsid w:val="00FE1D70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6EC98C9-46D7-48C5-BBE9-E5D3E70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EF"/>
    <w:pPr>
      <w:spacing w:after="240"/>
      <w:ind w:left="567"/>
    </w:pPr>
    <w:rPr>
      <w:sz w:val="24"/>
      <w:szCs w:val="24"/>
      <w:lang w:eastAsia="en-US"/>
    </w:rPr>
  </w:style>
  <w:style w:type="paragraph" w:styleId="Nadpis1">
    <w:name w:val="heading 1"/>
    <w:basedOn w:val="Normln"/>
    <w:next w:val="MainText"/>
    <w:link w:val="Nadpis1Char"/>
    <w:uiPriority w:val="99"/>
    <w:qFormat/>
    <w:rsid w:val="00265FC9"/>
    <w:pPr>
      <w:keepNext/>
      <w:pageBreakBefore/>
      <w:numPr>
        <w:numId w:val="5"/>
      </w:numPr>
      <w:tabs>
        <w:tab w:val="left" w:pos="567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MainText"/>
    <w:link w:val="Nadpis2Char"/>
    <w:uiPriority w:val="99"/>
    <w:qFormat/>
    <w:rsid w:val="00DC4953"/>
    <w:pPr>
      <w:keepNext/>
      <w:numPr>
        <w:ilvl w:val="1"/>
        <w:numId w:val="5"/>
      </w:numPr>
      <w:tabs>
        <w:tab w:val="left" w:pos="1259"/>
      </w:tabs>
      <w:spacing w:before="3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MainText"/>
    <w:link w:val="Nadpis3Char"/>
    <w:uiPriority w:val="99"/>
    <w:qFormat/>
    <w:rsid w:val="00265FC9"/>
    <w:pPr>
      <w:keepNext/>
      <w:numPr>
        <w:ilvl w:val="2"/>
        <w:numId w:val="5"/>
      </w:numPr>
      <w:spacing w:before="24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MainText"/>
    <w:link w:val="Nadpis4Char"/>
    <w:uiPriority w:val="99"/>
    <w:qFormat/>
    <w:rsid w:val="00265FC9"/>
    <w:pPr>
      <w:keepNext/>
      <w:numPr>
        <w:ilvl w:val="3"/>
        <w:numId w:val="5"/>
      </w:numPr>
      <w:spacing w:before="24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65FC9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65FC9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265FC9"/>
    <w:pPr>
      <w:keepNext/>
      <w:spacing w:after="110" w:line="220" w:lineRule="exact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265FC9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65FC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7539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753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75398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75398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75398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75398"/>
    <w:rPr>
      <w:rFonts w:ascii="Calibri" w:hAnsi="Calibri" w:cs="Calibr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75398"/>
    <w:rPr>
      <w:rFonts w:ascii="Calibri" w:hAnsi="Calibri" w:cs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075398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075398"/>
    <w:rPr>
      <w:rFonts w:ascii="Cambria" w:hAnsi="Cambria" w:cs="Cambria"/>
      <w:lang w:eastAsia="en-US"/>
    </w:rPr>
  </w:style>
  <w:style w:type="paragraph" w:customStyle="1" w:styleId="MainText">
    <w:name w:val="Main Text"/>
    <w:basedOn w:val="Normln"/>
    <w:uiPriority w:val="99"/>
    <w:rsid w:val="00265FC9"/>
    <w:pPr>
      <w:spacing w:before="240"/>
      <w:jc w:val="both"/>
    </w:pPr>
    <w:rPr>
      <w:rFonts w:ascii="Arial" w:hAnsi="Arial" w:cs="Arial"/>
      <w:spacing w:val="10"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265FC9"/>
    <w:rPr>
      <w:rFonts w:ascii="Arial" w:hAnsi="Arial" w:cs="Arial"/>
      <w:sz w:val="20"/>
      <w:szCs w:val="20"/>
    </w:rPr>
  </w:style>
  <w:style w:type="character" w:styleId="Sledovanodkaz">
    <w:name w:val="FollowedHyperlink"/>
    <w:basedOn w:val="Standardnpsmoodstavce"/>
    <w:uiPriority w:val="99"/>
    <w:rsid w:val="00265FC9"/>
    <w:rPr>
      <w:color w:val="800080"/>
      <w:u w:val="single"/>
    </w:rPr>
  </w:style>
  <w:style w:type="paragraph" w:customStyle="1" w:styleId="ClientName">
    <w:name w:val="Client Name"/>
    <w:basedOn w:val="Nadpis2"/>
    <w:uiPriority w:val="99"/>
    <w:rsid w:val="00265FC9"/>
    <w:pPr>
      <w:numPr>
        <w:ilvl w:val="0"/>
        <w:numId w:val="0"/>
      </w:numPr>
      <w:spacing w:before="0"/>
      <w:jc w:val="center"/>
    </w:pPr>
    <w:rPr>
      <w:sz w:val="48"/>
      <w:szCs w:val="48"/>
    </w:rPr>
  </w:style>
  <w:style w:type="paragraph" w:styleId="Seznamobrzk">
    <w:name w:val="table of figures"/>
    <w:basedOn w:val="Normln"/>
    <w:next w:val="Normln"/>
    <w:uiPriority w:val="99"/>
    <w:semiHidden/>
    <w:rsid w:val="00265FC9"/>
    <w:pPr>
      <w:ind w:left="480" w:hanging="480"/>
    </w:pPr>
  </w:style>
  <w:style w:type="paragraph" w:styleId="Obsah1">
    <w:name w:val="toc 1"/>
    <w:basedOn w:val="Normln"/>
    <w:next w:val="Obsah2"/>
    <w:autoRedefine/>
    <w:uiPriority w:val="39"/>
    <w:rsid w:val="00265FC9"/>
    <w:pPr>
      <w:tabs>
        <w:tab w:val="left" w:pos="1134"/>
        <w:tab w:val="right" w:pos="8806"/>
      </w:tabs>
      <w:spacing w:before="240" w:after="0"/>
      <w:ind w:right="567" w:hanging="567"/>
      <w:outlineLvl w:val="0"/>
    </w:pPr>
    <w:rPr>
      <w:rFonts w:ascii="Arial" w:hAnsi="Arial" w:cs="Arial"/>
      <w:b/>
      <w:bCs/>
      <w:caps/>
      <w:noProof/>
      <w:spacing w:val="10"/>
      <w:sz w:val="22"/>
      <w:szCs w:val="22"/>
      <w:lang w:val="en-GB"/>
    </w:rPr>
  </w:style>
  <w:style w:type="paragraph" w:styleId="Obsah2">
    <w:name w:val="toc 2"/>
    <w:basedOn w:val="Obsah1"/>
    <w:autoRedefine/>
    <w:uiPriority w:val="39"/>
    <w:rsid w:val="00265FC9"/>
    <w:pPr>
      <w:spacing w:before="120"/>
      <w:ind w:left="1134"/>
      <w:outlineLvl w:val="1"/>
    </w:pPr>
    <w:rPr>
      <w:b w:val="0"/>
      <w:bCs w:val="0"/>
      <w:caps w:val="0"/>
      <w:sz w:val="20"/>
      <w:szCs w:val="20"/>
    </w:rPr>
  </w:style>
  <w:style w:type="paragraph" w:customStyle="1" w:styleId="FigureHeading">
    <w:name w:val="Figure Heading"/>
    <w:basedOn w:val="MainText"/>
    <w:next w:val="MainText"/>
    <w:uiPriority w:val="99"/>
    <w:rsid w:val="00265FC9"/>
    <w:pPr>
      <w:keepNext/>
      <w:numPr>
        <w:numId w:val="1"/>
      </w:numPr>
      <w:tabs>
        <w:tab w:val="left" w:pos="1701"/>
      </w:tabs>
      <w:spacing w:before="360" w:after="120"/>
    </w:pPr>
    <w:rPr>
      <w:b/>
      <w:bCs/>
      <w:sz w:val="16"/>
      <w:szCs w:val="16"/>
    </w:rPr>
  </w:style>
  <w:style w:type="paragraph" w:customStyle="1" w:styleId="ProposalByDate">
    <w:name w:val="Proposal By/Date"/>
    <w:next w:val="Normln"/>
    <w:uiPriority w:val="99"/>
    <w:rsid w:val="00265FC9"/>
    <w:pPr>
      <w:jc w:val="center"/>
    </w:pPr>
    <w:rPr>
      <w:rFonts w:ascii="Arial" w:hAnsi="Arial" w:cs="Arial"/>
      <w:b/>
      <w:bCs/>
      <w:caps/>
      <w:spacing w:val="10"/>
      <w:sz w:val="18"/>
      <w:szCs w:val="18"/>
      <w:lang w:eastAsia="en-US"/>
    </w:rPr>
  </w:style>
  <w:style w:type="paragraph" w:customStyle="1" w:styleId="ReportTitle">
    <w:name w:val="Report Title"/>
    <w:basedOn w:val="CompanyName"/>
    <w:uiPriority w:val="99"/>
    <w:rsid w:val="00265FC9"/>
    <w:pPr>
      <w:spacing w:before="360"/>
      <w:ind w:left="0" w:firstLine="0"/>
    </w:pPr>
  </w:style>
  <w:style w:type="paragraph" w:customStyle="1" w:styleId="CompanyName">
    <w:name w:val="CompanyName"/>
    <w:basedOn w:val="Nzev"/>
    <w:next w:val="Nzev"/>
    <w:uiPriority w:val="99"/>
    <w:rsid w:val="00265FC9"/>
    <w:pPr>
      <w:keepNext/>
      <w:keepLines/>
      <w:spacing w:before="0" w:after="0"/>
      <w:ind w:left="709" w:hanging="709"/>
      <w:outlineLvl w:val="9"/>
    </w:pPr>
    <w:rPr>
      <w:caps/>
      <w:kern w:val="0"/>
      <w:sz w:val="24"/>
      <w:szCs w:val="24"/>
      <w:lang w:eastAsia="en-GB"/>
    </w:rPr>
  </w:style>
  <w:style w:type="paragraph" w:styleId="Nzev">
    <w:name w:val="Title"/>
    <w:basedOn w:val="Normln"/>
    <w:link w:val="NzevChar"/>
    <w:uiPriority w:val="99"/>
    <w:qFormat/>
    <w:rsid w:val="00265FC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075398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ENProposalTitle">
    <w:name w:val="EN Proposal Title"/>
    <w:basedOn w:val="Nadpis3"/>
    <w:uiPriority w:val="99"/>
    <w:rsid w:val="00265FC9"/>
    <w:pPr>
      <w:spacing w:line="280" w:lineRule="exact"/>
    </w:pPr>
    <w:rPr>
      <w:sz w:val="24"/>
      <w:szCs w:val="24"/>
    </w:rPr>
  </w:style>
  <w:style w:type="paragraph" w:customStyle="1" w:styleId="ENItalicText">
    <w:name w:val="EN Italic Text"/>
    <w:basedOn w:val="MainText"/>
    <w:uiPriority w:val="99"/>
    <w:rsid w:val="00265FC9"/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265FC9"/>
    <w:pPr>
      <w:ind w:left="720"/>
    </w:pPr>
  </w:style>
  <w:style w:type="paragraph" w:customStyle="1" w:styleId="ExecutiveSummary">
    <w:name w:val="Executive Summary"/>
    <w:basedOn w:val="Nadpis5"/>
    <w:next w:val="MainText"/>
    <w:uiPriority w:val="99"/>
    <w:rsid w:val="00265FC9"/>
    <w:rPr>
      <w:caps/>
      <w:spacing w:val="10"/>
    </w:rPr>
  </w:style>
  <w:style w:type="paragraph" w:styleId="Obsah5">
    <w:name w:val="toc 5"/>
    <w:basedOn w:val="Normln"/>
    <w:next w:val="Normln"/>
    <w:autoRedefine/>
    <w:uiPriority w:val="99"/>
    <w:semiHidden/>
    <w:rsid w:val="00265FC9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265FC9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265FC9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265FC9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265FC9"/>
    <w:pPr>
      <w:ind w:left="1920"/>
    </w:pPr>
  </w:style>
  <w:style w:type="character" w:styleId="Hypertextovodkaz">
    <w:name w:val="Hyperlink"/>
    <w:basedOn w:val="Standardnpsmoodstavce"/>
    <w:uiPriority w:val="99"/>
    <w:rsid w:val="00265FC9"/>
    <w:rPr>
      <w:color w:val="0000FF"/>
      <w:u w:val="single"/>
    </w:rPr>
  </w:style>
  <w:style w:type="paragraph" w:customStyle="1" w:styleId="TableHeading">
    <w:name w:val="Table Heading"/>
    <w:basedOn w:val="FigureHeading"/>
    <w:next w:val="MainText"/>
    <w:uiPriority w:val="99"/>
    <w:rsid w:val="00265FC9"/>
    <w:pPr>
      <w:numPr>
        <w:numId w:val="2"/>
      </w:numPr>
      <w:ind w:firstLine="0"/>
    </w:pPr>
  </w:style>
  <w:style w:type="paragraph" w:customStyle="1" w:styleId="QualitySubtitles">
    <w:name w:val="Quality Subtitles"/>
    <w:basedOn w:val="Normln"/>
    <w:uiPriority w:val="99"/>
    <w:rsid w:val="00265FC9"/>
    <w:pPr>
      <w:spacing w:line="250" w:lineRule="exact"/>
    </w:pPr>
    <w:rPr>
      <w:rFonts w:ascii="Arial" w:hAnsi="Arial" w:cs="Arial"/>
      <w:b/>
      <w:bCs/>
      <w:spacing w:val="10"/>
      <w:sz w:val="20"/>
      <w:szCs w:val="20"/>
    </w:rPr>
  </w:style>
  <w:style w:type="character" w:styleId="slostrnky">
    <w:name w:val="page number"/>
    <w:basedOn w:val="Standardnpsmoodstavce"/>
    <w:uiPriority w:val="99"/>
    <w:rsid w:val="00265FC9"/>
  </w:style>
  <w:style w:type="paragraph" w:customStyle="1" w:styleId="QualityText">
    <w:name w:val="Quality Text"/>
    <w:basedOn w:val="QualitySubtitles"/>
    <w:uiPriority w:val="99"/>
    <w:rsid w:val="00265FC9"/>
    <w:rPr>
      <w:b w:val="0"/>
      <w:bCs w:val="0"/>
    </w:rPr>
  </w:style>
  <w:style w:type="paragraph" w:customStyle="1" w:styleId="BulletText">
    <w:name w:val="Bullet Text"/>
    <w:basedOn w:val="MainText"/>
    <w:uiPriority w:val="99"/>
    <w:rsid w:val="00265FC9"/>
    <w:pPr>
      <w:numPr>
        <w:numId w:val="3"/>
      </w:numPr>
    </w:pPr>
  </w:style>
  <w:style w:type="paragraph" w:customStyle="1" w:styleId="TableText">
    <w:name w:val="Table Text"/>
    <w:basedOn w:val="Normln"/>
    <w:uiPriority w:val="99"/>
    <w:rsid w:val="00265FC9"/>
    <w:pPr>
      <w:spacing w:before="15" w:after="15"/>
      <w:ind w:left="15" w:right="15"/>
    </w:pPr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rsid w:val="00265FC9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5398"/>
    <w:rPr>
      <w:sz w:val="2"/>
      <w:szCs w:val="2"/>
      <w:lang w:eastAsia="en-US"/>
    </w:rPr>
  </w:style>
  <w:style w:type="paragraph" w:customStyle="1" w:styleId="Appendices">
    <w:name w:val="Appendices"/>
    <w:basedOn w:val="AppendixNo"/>
    <w:next w:val="MainText"/>
    <w:uiPriority w:val="99"/>
    <w:rsid w:val="00265FC9"/>
    <w:pPr>
      <w:numPr>
        <w:numId w:val="0"/>
      </w:numPr>
      <w:ind w:left="567"/>
    </w:pPr>
  </w:style>
  <w:style w:type="paragraph" w:customStyle="1" w:styleId="AppendixNo">
    <w:name w:val="Appendix No."/>
    <w:next w:val="MainText"/>
    <w:uiPriority w:val="99"/>
    <w:rsid w:val="00265FC9"/>
    <w:pPr>
      <w:keepNext/>
      <w:pageBreakBefore/>
      <w:numPr>
        <w:numId w:val="4"/>
      </w:numPr>
      <w:tabs>
        <w:tab w:val="left" w:pos="567"/>
      </w:tabs>
      <w:ind w:left="567" w:hanging="567"/>
    </w:pPr>
    <w:rPr>
      <w:rFonts w:ascii="Arial" w:hAnsi="Arial" w:cs="Arial"/>
      <w:b/>
      <w:bCs/>
      <w:caps/>
      <w:spacing w:val="1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265FC9"/>
    <w:pPr>
      <w:tabs>
        <w:tab w:val="left" w:pos="360"/>
      </w:tabs>
      <w:ind w:left="357" w:hanging="357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75398"/>
    <w:rPr>
      <w:sz w:val="20"/>
      <w:szCs w:val="20"/>
      <w:lang w:eastAsia="en-US"/>
    </w:rPr>
  </w:style>
  <w:style w:type="character" w:styleId="Znakapoznpodarou">
    <w:name w:val="footnote reference"/>
    <w:aliases w:val="EN Footnote Reference"/>
    <w:basedOn w:val="Standardnpsmoodstavce"/>
    <w:uiPriority w:val="99"/>
    <w:semiHidden/>
    <w:rsid w:val="00265FC9"/>
    <w:rPr>
      <w:rFonts w:ascii="Arial" w:hAnsi="Arial" w:cs="Arial"/>
      <w:vertAlign w:val="superscript"/>
    </w:rPr>
  </w:style>
  <w:style w:type="paragraph" w:customStyle="1" w:styleId="TableSource">
    <w:name w:val="Table Source"/>
    <w:basedOn w:val="MainText"/>
    <w:next w:val="MainText"/>
    <w:uiPriority w:val="99"/>
    <w:rsid w:val="00265FC9"/>
    <w:pPr>
      <w:spacing w:before="60"/>
    </w:pPr>
    <w:rPr>
      <w:i/>
      <w:iCs/>
      <w:sz w:val="16"/>
      <w:szCs w:val="16"/>
    </w:rPr>
  </w:style>
  <w:style w:type="paragraph" w:styleId="Zhlav">
    <w:name w:val="header"/>
    <w:basedOn w:val="Normln"/>
    <w:link w:val="ZhlavChar"/>
    <w:uiPriority w:val="99"/>
    <w:rsid w:val="00265FC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75398"/>
    <w:rPr>
      <w:sz w:val="24"/>
      <w:szCs w:val="24"/>
      <w:lang w:eastAsia="en-US"/>
    </w:rPr>
  </w:style>
  <w:style w:type="paragraph" w:styleId="Titulek">
    <w:name w:val="caption"/>
    <w:basedOn w:val="Normln"/>
    <w:next w:val="Normln"/>
    <w:uiPriority w:val="99"/>
    <w:qFormat/>
    <w:rsid w:val="00CD2EEF"/>
    <w:rPr>
      <w:b/>
      <w:bCs/>
      <w:sz w:val="20"/>
      <w:szCs w:val="20"/>
      <w:lang w:eastAsia="cs-CZ"/>
    </w:rPr>
  </w:style>
  <w:style w:type="paragraph" w:customStyle="1" w:styleId="NumberText">
    <w:name w:val="Number Text"/>
    <w:basedOn w:val="MainText"/>
    <w:uiPriority w:val="99"/>
    <w:rsid w:val="00265FC9"/>
    <w:pPr>
      <w:numPr>
        <w:numId w:val="6"/>
      </w:numPr>
      <w:tabs>
        <w:tab w:val="left" w:pos="924"/>
      </w:tabs>
      <w:ind w:left="924" w:hanging="357"/>
    </w:pPr>
  </w:style>
  <w:style w:type="paragraph" w:styleId="Zpat">
    <w:name w:val="footer"/>
    <w:basedOn w:val="Normln"/>
    <w:link w:val="ZpatChar"/>
    <w:uiPriority w:val="99"/>
    <w:rsid w:val="0029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15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439FDFAE.dotm</Template>
  <TotalTime>141</TotalTime>
  <Pages>11</Pages>
  <Words>1835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Monitoring vládních budov - zpráva o provozu v roce 2010</vt:lpstr>
    </vt:vector>
  </TitlesOfParts>
  <Company>ENVIROS, s.r.o.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vládních budov - zpráva o provozu v roce 2010</dc:title>
  <dc:subject>ENVIROS, s. r. o.</dc:subject>
  <dc:creator>Pavel Sitný</dc:creator>
  <cp:lastModifiedBy>Sedláčková Jana</cp:lastModifiedBy>
  <cp:revision>12</cp:revision>
  <cp:lastPrinted>2015-06-26T06:19:00Z</cp:lastPrinted>
  <dcterms:created xsi:type="dcterms:W3CDTF">2015-05-11T11:47:00Z</dcterms:created>
  <dcterms:modified xsi:type="dcterms:W3CDTF">2015-06-30T06:11:00Z</dcterms:modified>
</cp:coreProperties>
</file>