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9E0" w:rsidRDefault="00B469E0" w:rsidP="002915E4">
      <w:pPr>
        <w:ind w:left="0"/>
        <w:rPr>
          <w:rFonts w:ascii="Arial" w:hAnsi="Arial" w:cs="Arial"/>
          <w:sz w:val="28"/>
          <w:szCs w:val="28"/>
        </w:rPr>
      </w:pPr>
    </w:p>
    <w:p w:rsidR="00691553" w:rsidRDefault="00691553" w:rsidP="002915E4">
      <w:pPr>
        <w:ind w:left="0"/>
        <w:rPr>
          <w:rFonts w:ascii="Arial" w:hAnsi="Arial" w:cs="Arial"/>
          <w:sz w:val="28"/>
          <w:szCs w:val="28"/>
        </w:rPr>
      </w:pPr>
    </w:p>
    <w:p w:rsidR="00691553" w:rsidRDefault="00691553" w:rsidP="002915E4">
      <w:pPr>
        <w:ind w:left="0"/>
        <w:rPr>
          <w:rFonts w:ascii="Arial" w:hAnsi="Arial" w:cs="Arial"/>
          <w:sz w:val="28"/>
          <w:szCs w:val="28"/>
        </w:rPr>
      </w:pPr>
    </w:p>
    <w:p w:rsidR="00691553" w:rsidRDefault="00691553" w:rsidP="002915E4">
      <w:pPr>
        <w:ind w:left="0"/>
        <w:rPr>
          <w:rFonts w:ascii="Arial" w:hAnsi="Arial" w:cs="Arial"/>
          <w:sz w:val="28"/>
          <w:szCs w:val="28"/>
        </w:rPr>
      </w:pPr>
    </w:p>
    <w:p w:rsidR="00691553" w:rsidRDefault="00691553" w:rsidP="002915E4">
      <w:pPr>
        <w:ind w:left="0"/>
        <w:rPr>
          <w:rFonts w:ascii="Arial" w:hAnsi="Arial" w:cs="Arial"/>
          <w:sz w:val="28"/>
          <w:szCs w:val="28"/>
        </w:rPr>
      </w:pPr>
    </w:p>
    <w:p w:rsidR="00691553" w:rsidRDefault="00691553" w:rsidP="002915E4">
      <w:pPr>
        <w:ind w:left="0"/>
        <w:rPr>
          <w:rFonts w:ascii="Arial" w:hAnsi="Arial" w:cs="Arial"/>
          <w:sz w:val="28"/>
          <w:szCs w:val="28"/>
        </w:rPr>
      </w:pPr>
    </w:p>
    <w:p w:rsidR="00691553" w:rsidRPr="008553E3" w:rsidRDefault="00691553" w:rsidP="008553E3">
      <w:pPr>
        <w:ind w:left="426" w:hanging="426"/>
        <w:jc w:val="center"/>
        <w:rPr>
          <w:rFonts w:ascii="Arial" w:hAnsi="Arial" w:cs="Arial"/>
          <w:b/>
          <w:sz w:val="28"/>
          <w:szCs w:val="28"/>
        </w:rPr>
      </w:pPr>
      <w:r w:rsidRPr="008553E3">
        <w:rPr>
          <w:rFonts w:ascii="Arial" w:hAnsi="Arial" w:cs="Arial"/>
          <w:b/>
          <w:sz w:val="28"/>
          <w:szCs w:val="28"/>
        </w:rPr>
        <w:t>2) Zpráva o</w:t>
      </w:r>
      <w:r w:rsidR="00C909FF" w:rsidRPr="008553E3">
        <w:rPr>
          <w:rFonts w:ascii="Arial" w:hAnsi="Arial" w:cs="Arial"/>
          <w:b/>
          <w:sz w:val="28"/>
          <w:szCs w:val="28"/>
        </w:rPr>
        <w:t xml:space="preserve"> provozu</w:t>
      </w:r>
      <w:r w:rsidRPr="008553E3">
        <w:rPr>
          <w:rFonts w:ascii="Arial" w:hAnsi="Arial" w:cs="Arial"/>
          <w:b/>
          <w:sz w:val="28"/>
          <w:szCs w:val="28"/>
        </w:rPr>
        <w:t xml:space="preserve"> </w:t>
      </w:r>
      <w:r w:rsidR="00C909FF" w:rsidRPr="008553E3">
        <w:rPr>
          <w:rFonts w:ascii="Arial" w:hAnsi="Arial" w:cs="Arial"/>
          <w:b/>
          <w:sz w:val="28"/>
          <w:szCs w:val="28"/>
        </w:rPr>
        <w:t>Systému monitorování spotřeby a </w:t>
      </w:r>
      <w:r w:rsidRPr="008553E3">
        <w:rPr>
          <w:rFonts w:ascii="Arial" w:hAnsi="Arial" w:cs="Arial"/>
          <w:b/>
          <w:sz w:val="28"/>
          <w:szCs w:val="28"/>
        </w:rPr>
        <w:t>úspor energie v budovách vládních</w:t>
      </w:r>
      <w:r w:rsidR="00CD0697" w:rsidRPr="008553E3">
        <w:rPr>
          <w:rFonts w:ascii="Arial" w:hAnsi="Arial" w:cs="Arial"/>
          <w:b/>
          <w:sz w:val="28"/>
          <w:szCs w:val="28"/>
        </w:rPr>
        <w:t xml:space="preserve"> institucí</w:t>
      </w:r>
    </w:p>
    <w:p w:rsidR="00B469E0" w:rsidRDefault="00B469E0" w:rsidP="002915E4">
      <w:pPr>
        <w:ind w:left="0"/>
        <w:rPr>
          <w:rFonts w:ascii="Arial" w:hAnsi="Arial" w:cs="Arial"/>
          <w:sz w:val="28"/>
          <w:szCs w:val="28"/>
        </w:rPr>
      </w:pPr>
    </w:p>
    <w:p w:rsidR="00B469E0" w:rsidRDefault="00B469E0" w:rsidP="002915E4">
      <w:pPr>
        <w:ind w:left="0"/>
        <w:rPr>
          <w:rFonts w:ascii="Arial" w:hAnsi="Arial" w:cs="Arial"/>
          <w:sz w:val="28"/>
          <w:szCs w:val="28"/>
        </w:rPr>
      </w:pPr>
    </w:p>
    <w:p w:rsidR="00CD0697" w:rsidRDefault="00CD0697" w:rsidP="002915E4">
      <w:pPr>
        <w:ind w:left="0"/>
        <w:rPr>
          <w:rFonts w:ascii="Arial" w:hAnsi="Arial" w:cs="Arial"/>
          <w:sz w:val="28"/>
          <w:szCs w:val="28"/>
        </w:rPr>
      </w:pPr>
    </w:p>
    <w:p w:rsidR="00CD0697" w:rsidRDefault="00CD0697" w:rsidP="002915E4">
      <w:pPr>
        <w:ind w:left="0"/>
        <w:rPr>
          <w:rFonts w:ascii="Arial" w:hAnsi="Arial" w:cs="Arial"/>
          <w:sz w:val="28"/>
          <w:szCs w:val="28"/>
        </w:rPr>
      </w:pPr>
    </w:p>
    <w:p w:rsidR="00CD0697" w:rsidRDefault="00CD0697" w:rsidP="002915E4">
      <w:pPr>
        <w:ind w:left="0"/>
        <w:rPr>
          <w:rFonts w:ascii="Arial" w:hAnsi="Arial" w:cs="Arial"/>
          <w:sz w:val="28"/>
          <w:szCs w:val="28"/>
        </w:rPr>
      </w:pPr>
    </w:p>
    <w:p w:rsidR="00CD0697" w:rsidRDefault="00CD0697" w:rsidP="002915E4">
      <w:pPr>
        <w:ind w:left="0"/>
        <w:rPr>
          <w:rFonts w:ascii="Arial" w:hAnsi="Arial" w:cs="Arial"/>
          <w:sz w:val="28"/>
          <w:szCs w:val="28"/>
        </w:rPr>
      </w:pPr>
    </w:p>
    <w:p w:rsidR="00CD0697" w:rsidRDefault="00CD0697" w:rsidP="002915E4">
      <w:pPr>
        <w:ind w:left="0"/>
        <w:rPr>
          <w:rFonts w:ascii="Arial" w:hAnsi="Arial" w:cs="Arial"/>
          <w:sz w:val="28"/>
          <w:szCs w:val="28"/>
        </w:rPr>
      </w:pPr>
    </w:p>
    <w:p w:rsidR="00CD0697" w:rsidRDefault="00CD0697" w:rsidP="002915E4">
      <w:pPr>
        <w:ind w:left="0"/>
        <w:rPr>
          <w:rFonts w:ascii="Arial" w:hAnsi="Arial" w:cs="Arial"/>
          <w:sz w:val="28"/>
          <w:szCs w:val="28"/>
        </w:rPr>
      </w:pPr>
    </w:p>
    <w:p w:rsidR="00CD0697" w:rsidRDefault="00CD0697" w:rsidP="002915E4">
      <w:pPr>
        <w:ind w:left="0"/>
        <w:rPr>
          <w:rFonts w:ascii="Arial" w:hAnsi="Arial" w:cs="Arial"/>
          <w:sz w:val="28"/>
          <w:szCs w:val="28"/>
        </w:rPr>
      </w:pPr>
    </w:p>
    <w:p w:rsidR="00CD0697" w:rsidRDefault="00CD0697" w:rsidP="002915E4">
      <w:pPr>
        <w:ind w:left="0"/>
        <w:rPr>
          <w:rFonts w:ascii="Arial" w:hAnsi="Arial" w:cs="Arial"/>
          <w:sz w:val="28"/>
          <w:szCs w:val="28"/>
        </w:rPr>
      </w:pPr>
    </w:p>
    <w:p w:rsidR="00CD0697" w:rsidRDefault="00CD0697" w:rsidP="002915E4">
      <w:pPr>
        <w:ind w:left="0"/>
        <w:rPr>
          <w:rFonts w:ascii="Arial" w:hAnsi="Arial" w:cs="Arial"/>
          <w:sz w:val="28"/>
          <w:szCs w:val="28"/>
        </w:rPr>
      </w:pPr>
    </w:p>
    <w:p w:rsidR="00CD0697" w:rsidRDefault="00CD0697" w:rsidP="002915E4">
      <w:pPr>
        <w:ind w:left="0"/>
        <w:rPr>
          <w:rFonts w:ascii="Arial" w:hAnsi="Arial" w:cs="Arial"/>
          <w:sz w:val="28"/>
          <w:szCs w:val="28"/>
        </w:rPr>
      </w:pPr>
    </w:p>
    <w:p w:rsidR="00CD0697" w:rsidRDefault="00CD0697" w:rsidP="002915E4">
      <w:pPr>
        <w:ind w:left="0"/>
        <w:rPr>
          <w:rFonts w:ascii="Arial" w:hAnsi="Arial" w:cs="Arial"/>
          <w:sz w:val="28"/>
          <w:szCs w:val="28"/>
        </w:rPr>
      </w:pPr>
    </w:p>
    <w:p w:rsidR="00CD0697" w:rsidRDefault="00CD0697" w:rsidP="002915E4">
      <w:pPr>
        <w:ind w:left="0"/>
        <w:rPr>
          <w:rFonts w:ascii="Arial" w:hAnsi="Arial" w:cs="Arial"/>
          <w:sz w:val="28"/>
          <w:szCs w:val="28"/>
        </w:rPr>
      </w:pPr>
    </w:p>
    <w:p w:rsidR="00CD0697" w:rsidRDefault="00CD0697" w:rsidP="002915E4">
      <w:pPr>
        <w:ind w:left="0"/>
        <w:rPr>
          <w:rFonts w:ascii="Arial" w:hAnsi="Arial" w:cs="Arial"/>
          <w:sz w:val="28"/>
          <w:szCs w:val="28"/>
        </w:rPr>
      </w:pPr>
    </w:p>
    <w:p w:rsidR="00B469E0" w:rsidRPr="00D46CEA" w:rsidRDefault="00B469E0" w:rsidP="002915E4">
      <w:pPr>
        <w:ind w:left="0"/>
        <w:rPr>
          <w:rFonts w:ascii="Arial" w:hAnsi="Arial" w:cs="Arial"/>
          <w:sz w:val="28"/>
          <w:szCs w:val="28"/>
        </w:rPr>
        <w:sectPr w:rsidR="00B469E0" w:rsidRPr="00D46CEA" w:rsidSect="00691553">
          <w:footerReference w:type="default" r:id="rId8"/>
          <w:pgSz w:w="11906" w:h="16838" w:code="9"/>
          <w:pgMar w:top="1134" w:right="1558" w:bottom="1417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8"/>
          <w:szCs w:val="28"/>
        </w:rPr>
        <w:t xml:space="preserve">Praha, květen </w:t>
      </w:r>
      <w:r w:rsidR="00CD0697">
        <w:rPr>
          <w:rFonts w:ascii="Arial" w:hAnsi="Arial" w:cs="Arial"/>
          <w:sz w:val="28"/>
          <w:szCs w:val="28"/>
        </w:rPr>
        <w:t>2016</w:t>
      </w:r>
    </w:p>
    <w:p w:rsidR="00815C58" w:rsidRPr="007E4048" w:rsidRDefault="00B469E0">
      <w:pPr>
        <w:pStyle w:val="Obsah1"/>
        <w:rPr>
          <w:rFonts w:ascii="Calibri" w:eastAsia="Times New Roman" w:hAnsi="Calibri" w:cs="Times New Roman"/>
          <w:b w:val="0"/>
          <w:bCs w:val="0"/>
          <w:caps w:val="0"/>
          <w:spacing w:val="0"/>
          <w:lang w:val="en-US"/>
        </w:rPr>
      </w:pPr>
      <w:r w:rsidRPr="00B864F7">
        <w:rPr>
          <w:b w:val="0"/>
          <w:bCs w:val="0"/>
          <w:caps w:val="0"/>
          <w:sz w:val="20"/>
          <w:szCs w:val="20"/>
          <w:lang w:val="cs-CZ"/>
        </w:rPr>
        <w:lastRenderedPageBreak/>
        <w:fldChar w:fldCharType="begin"/>
      </w:r>
      <w:r w:rsidRPr="00B864F7">
        <w:rPr>
          <w:b w:val="0"/>
          <w:bCs w:val="0"/>
          <w:caps w:val="0"/>
          <w:sz w:val="20"/>
          <w:szCs w:val="20"/>
          <w:lang w:val="cs-CZ"/>
        </w:rPr>
        <w:instrText xml:space="preserve"> TOC \o "1-3" \h \z </w:instrText>
      </w:r>
      <w:r w:rsidRPr="00B864F7">
        <w:rPr>
          <w:b w:val="0"/>
          <w:bCs w:val="0"/>
          <w:caps w:val="0"/>
          <w:sz w:val="20"/>
          <w:szCs w:val="20"/>
          <w:lang w:val="cs-CZ"/>
        </w:rPr>
        <w:fldChar w:fldCharType="separate"/>
      </w:r>
      <w:hyperlink w:anchor="_Toc450121990" w:history="1">
        <w:r w:rsidR="00815C58" w:rsidRPr="00141CF6">
          <w:rPr>
            <w:rStyle w:val="Hypertextovodkaz"/>
          </w:rPr>
          <w:t>1.</w:t>
        </w:r>
        <w:r w:rsidR="00815C58" w:rsidRPr="007E4048">
          <w:rPr>
            <w:rFonts w:ascii="Calibri" w:eastAsia="Times New Roman" w:hAnsi="Calibri" w:cs="Times New Roman"/>
            <w:b w:val="0"/>
            <w:bCs w:val="0"/>
            <w:caps w:val="0"/>
            <w:spacing w:val="0"/>
            <w:lang w:val="en-US"/>
          </w:rPr>
          <w:tab/>
        </w:r>
        <w:r w:rsidR="00815C58" w:rsidRPr="00141CF6">
          <w:rPr>
            <w:rStyle w:val="Hypertextovodkaz"/>
          </w:rPr>
          <w:t>Úvod</w:t>
        </w:r>
        <w:r w:rsidR="00815C58">
          <w:rPr>
            <w:webHidden/>
          </w:rPr>
          <w:tab/>
        </w:r>
        <w:r w:rsidR="00815C58">
          <w:rPr>
            <w:webHidden/>
          </w:rPr>
          <w:fldChar w:fldCharType="begin"/>
        </w:r>
        <w:r w:rsidR="00815C58">
          <w:rPr>
            <w:webHidden/>
          </w:rPr>
          <w:instrText xml:space="preserve"> PAGEREF _Toc450121990 \h </w:instrText>
        </w:r>
        <w:r w:rsidR="00815C58">
          <w:rPr>
            <w:webHidden/>
          </w:rPr>
        </w:r>
        <w:r w:rsidR="00815C58">
          <w:rPr>
            <w:webHidden/>
          </w:rPr>
          <w:fldChar w:fldCharType="separate"/>
        </w:r>
        <w:r w:rsidR="008553E3">
          <w:rPr>
            <w:webHidden/>
          </w:rPr>
          <w:t>3</w:t>
        </w:r>
        <w:r w:rsidR="00815C58">
          <w:rPr>
            <w:webHidden/>
          </w:rPr>
          <w:fldChar w:fldCharType="end"/>
        </w:r>
      </w:hyperlink>
    </w:p>
    <w:p w:rsidR="00815C58" w:rsidRPr="007E4048" w:rsidRDefault="00961EFF">
      <w:pPr>
        <w:pStyle w:val="Obsah1"/>
        <w:rPr>
          <w:rFonts w:ascii="Calibri" w:eastAsia="Times New Roman" w:hAnsi="Calibri" w:cs="Times New Roman"/>
          <w:b w:val="0"/>
          <w:bCs w:val="0"/>
          <w:caps w:val="0"/>
          <w:spacing w:val="0"/>
          <w:lang w:val="en-US"/>
        </w:rPr>
      </w:pPr>
      <w:hyperlink w:anchor="_Toc450121991" w:history="1">
        <w:r w:rsidR="00815C58" w:rsidRPr="00141CF6">
          <w:rPr>
            <w:rStyle w:val="Hypertextovodkaz"/>
            <w:rFonts w:cs="Times New Roman"/>
          </w:rPr>
          <w:t>2.</w:t>
        </w:r>
        <w:r w:rsidR="00815C58" w:rsidRPr="007E4048">
          <w:rPr>
            <w:rFonts w:ascii="Calibri" w:eastAsia="Times New Roman" w:hAnsi="Calibri" w:cs="Times New Roman"/>
            <w:b w:val="0"/>
            <w:bCs w:val="0"/>
            <w:caps w:val="0"/>
            <w:spacing w:val="0"/>
            <w:lang w:val="en-US"/>
          </w:rPr>
          <w:tab/>
        </w:r>
        <w:r w:rsidR="00815C58" w:rsidRPr="00141CF6">
          <w:rPr>
            <w:rStyle w:val="Hypertextovodkaz"/>
          </w:rPr>
          <w:t>Systém monitoringu spotřeby</w:t>
        </w:r>
        <w:r w:rsidR="00815C58">
          <w:rPr>
            <w:webHidden/>
          </w:rPr>
          <w:tab/>
        </w:r>
        <w:r w:rsidR="00815C58">
          <w:rPr>
            <w:webHidden/>
          </w:rPr>
          <w:fldChar w:fldCharType="begin"/>
        </w:r>
        <w:r w:rsidR="00815C58">
          <w:rPr>
            <w:webHidden/>
          </w:rPr>
          <w:instrText xml:space="preserve"> PAGEREF _Toc450121991 \h </w:instrText>
        </w:r>
        <w:r w:rsidR="00815C58">
          <w:rPr>
            <w:webHidden/>
          </w:rPr>
        </w:r>
        <w:r w:rsidR="00815C58">
          <w:rPr>
            <w:webHidden/>
          </w:rPr>
          <w:fldChar w:fldCharType="separate"/>
        </w:r>
        <w:r w:rsidR="008553E3">
          <w:rPr>
            <w:webHidden/>
          </w:rPr>
          <w:t>4</w:t>
        </w:r>
        <w:r w:rsidR="00815C58">
          <w:rPr>
            <w:webHidden/>
          </w:rPr>
          <w:fldChar w:fldCharType="end"/>
        </w:r>
      </w:hyperlink>
    </w:p>
    <w:p w:rsidR="00815C58" w:rsidRPr="007E4048" w:rsidRDefault="00961EFF">
      <w:pPr>
        <w:pStyle w:val="Obsah2"/>
        <w:rPr>
          <w:rFonts w:ascii="Calibri" w:eastAsia="Times New Roman" w:hAnsi="Calibri" w:cs="Times New Roman"/>
          <w:spacing w:val="0"/>
          <w:sz w:val="22"/>
          <w:szCs w:val="22"/>
          <w:lang w:val="en-US"/>
        </w:rPr>
      </w:pPr>
      <w:hyperlink w:anchor="_Toc450121992" w:history="1">
        <w:r w:rsidR="00815C58" w:rsidRPr="00141CF6">
          <w:rPr>
            <w:rStyle w:val="Hypertextovodkaz"/>
            <w:rFonts w:cs="Times New Roman"/>
          </w:rPr>
          <w:t>2.1</w:t>
        </w:r>
        <w:r w:rsidR="00815C58" w:rsidRPr="007E4048">
          <w:rPr>
            <w:rFonts w:ascii="Calibri" w:eastAsia="Times New Roman" w:hAnsi="Calibri" w:cs="Times New Roman"/>
            <w:spacing w:val="0"/>
            <w:sz w:val="22"/>
            <w:szCs w:val="22"/>
            <w:lang w:val="en-US"/>
          </w:rPr>
          <w:tab/>
        </w:r>
        <w:r w:rsidR="00815C58" w:rsidRPr="00141CF6">
          <w:rPr>
            <w:rStyle w:val="Hypertextovodkaz"/>
          </w:rPr>
          <w:t>Provoz systému v roce 2015</w:t>
        </w:r>
        <w:r w:rsidR="00815C58">
          <w:rPr>
            <w:webHidden/>
          </w:rPr>
          <w:tab/>
        </w:r>
        <w:r w:rsidR="00815C58">
          <w:rPr>
            <w:webHidden/>
          </w:rPr>
          <w:fldChar w:fldCharType="begin"/>
        </w:r>
        <w:r w:rsidR="00815C58">
          <w:rPr>
            <w:webHidden/>
          </w:rPr>
          <w:instrText xml:space="preserve"> PAGEREF _Toc450121992 \h </w:instrText>
        </w:r>
        <w:r w:rsidR="00815C58">
          <w:rPr>
            <w:webHidden/>
          </w:rPr>
        </w:r>
        <w:r w:rsidR="00815C58">
          <w:rPr>
            <w:webHidden/>
          </w:rPr>
          <w:fldChar w:fldCharType="separate"/>
        </w:r>
        <w:r w:rsidR="008553E3">
          <w:rPr>
            <w:webHidden/>
          </w:rPr>
          <w:t>4</w:t>
        </w:r>
        <w:r w:rsidR="00815C58">
          <w:rPr>
            <w:webHidden/>
          </w:rPr>
          <w:fldChar w:fldCharType="end"/>
        </w:r>
      </w:hyperlink>
    </w:p>
    <w:p w:rsidR="00815C58" w:rsidRPr="007E4048" w:rsidRDefault="00961EFF">
      <w:pPr>
        <w:pStyle w:val="Obsah1"/>
        <w:rPr>
          <w:rFonts w:ascii="Calibri" w:eastAsia="Times New Roman" w:hAnsi="Calibri" w:cs="Times New Roman"/>
          <w:b w:val="0"/>
          <w:bCs w:val="0"/>
          <w:caps w:val="0"/>
          <w:spacing w:val="0"/>
          <w:lang w:val="en-US"/>
        </w:rPr>
      </w:pPr>
      <w:hyperlink w:anchor="_Toc450121993" w:history="1">
        <w:r w:rsidR="00815C58" w:rsidRPr="00141CF6">
          <w:rPr>
            <w:rStyle w:val="Hypertextovodkaz"/>
            <w:rFonts w:cs="Times New Roman"/>
          </w:rPr>
          <w:t>3.</w:t>
        </w:r>
        <w:r w:rsidR="00815C58" w:rsidRPr="007E4048">
          <w:rPr>
            <w:rFonts w:ascii="Calibri" w:eastAsia="Times New Roman" w:hAnsi="Calibri" w:cs="Times New Roman"/>
            <w:b w:val="0"/>
            <w:bCs w:val="0"/>
            <w:caps w:val="0"/>
            <w:spacing w:val="0"/>
            <w:lang w:val="en-US"/>
          </w:rPr>
          <w:tab/>
        </w:r>
        <w:r w:rsidR="00815C58" w:rsidRPr="00141CF6">
          <w:rPr>
            <w:rStyle w:val="Hypertextovodkaz"/>
          </w:rPr>
          <w:t>Analýza monitorovaných dat</w:t>
        </w:r>
        <w:r w:rsidR="00815C58">
          <w:rPr>
            <w:webHidden/>
          </w:rPr>
          <w:tab/>
        </w:r>
        <w:r w:rsidR="00815C58">
          <w:rPr>
            <w:webHidden/>
          </w:rPr>
          <w:fldChar w:fldCharType="begin"/>
        </w:r>
        <w:r w:rsidR="00815C58">
          <w:rPr>
            <w:webHidden/>
          </w:rPr>
          <w:instrText xml:space="preserve"> PAGEREF _Toc450121993 \h </w:instrText>
        </w:r>
        <w:r w:rsidR="00815C58">
          <w:rPr>
            <w:webHidden/>
          </w:rPr>
        </w:r>
        <w:r w:rsidR="00815C58">
          <w:rPr>
            <w:webHidden/>
          </w:rPr>
          <w:fldChar w:fldCharType="separate"/>
        </w:r>
        <w:r w:rsidR="008553E3">
          <w:rPr>
            <w:webHidden/>
          </w:rPr>
          <w:t>4</w:t>
        </w:r>
        <w:r w:rsidR="00815C58">
          <w:rPr>
            <w:webHidden/>
          </w:rPr>
          <w:fldChar w:fldCharType="end"/>
        </w:r>
      </w:hyperlink>
    </w:p>
    <w:p w:rsidR="00815C58" w:rsidRPr="007E4048" w:rsidRDefault="00961EFF">
      <w:pPr>
        <w:pStyle w:val="Obsah2"/>
        <w:rPr>
          <w:rFonts w:ascii="Calibri" w:eastAsia="Times New Roman" w:hAnsi="Calibri" w:cs="Times New Roman"/>
          <w:spacing w:val="0"/>
          <w:sz w:val="22"/>
          <w:szCs w:val="22"/>
          <w:lang w:val="en-US"/>
        </w:rPr>
      </w:pPr>
      <w:hyperlink w:anchor="_Toc450121994" w:history="1">
        <w:r w:rsidR="00815C58" w:rsidRPr="00141CF6">
          <w:rPr>
            <w:rStyle w:val="Hypertextovodkaz"/>
            <w:rFonts w:cs="Times New Roman"/>
          </w:rPr>
          <w:t>3.1</w:t>
        </w:r>
        <w:r w:rsidR="00815C58" w:rsidRPr="007E4048">
          <w:rPr>
            <w:rFonts w:ascii="Calibri" w:eastAsia="Times New Roman" w:hAnsi="Calibri" w:cs="Times New Roman"/>
            <w:spacing w:val="0"/>
            <w:sz w:val="22"/>
            <w:szCs w:val="22"/>
            <w:lang w:val="en-US"/>
          </w:rPr>
          <w:tab/>
        </w:r>
        <w:r w:rsidR="00815C58" w:rsidRPr="00141CF6">
          <w:rPr>
            <w:rStyle w:val="Hypertextovodkaz"/>
          </w:rPr>
          <w:t>Spotřeba energie</w:t>
        </w:r>
        <w:r w:rsidR="00815C58">
          <w:rPr>
            <w:webHidden/>
          </w:rPr>
          <w:tab/>
        </w:r>
        <w:r w:rsidR="00815C58">
          <w:rPr>
            <w:webHidden/>
          </w:rPr>
          <w:fldChar w:fldCharType="begin"/>
        </w:r>
        <w:r w:rsidR="00815C58">
          <w:rPr>
            <w:webHidden/>
          </w:rPr>
          <w:instrText xml:space="preserve"> PAGEREF _Toc450121994 \h </w:instrText>
        </w:r>
        <w:r w:rsidR="00815C58">
          <w:rPr>
            <w:webHidden/>
          </w:rPr>
        </w:r>
        <w:r w:rsidR="00815C58">
          <w:rPr>
            <w:webHidden/>
          </w:rPr>
          <w:fldChar w:fldCharType="separate"/>
        </w:r>
        <w:r w:rsidR="008553E3">
          <w:rPr>
            <w:webHidden/>
          </w:rPr>
          <w:t>5</w:t>
        </w:r>
        <w:r w:rsidR="00815C58">
          <w:rPr>
            <w:webHidden/>
          </w:rPr>
          <w:fldChar w:fldCharType="end"/>
        </w:r>
      </w:hyperlink>
    </w:p>
    <w:p w:rsidR="00815C58" w:rsidRPr="007E4048" w:rsidRDefault="00961EFF">
      <w:pPr>
        <w:pStyle w:val="Obsah2"/>
        <w:rPr>
          <w:rFonts w:ascii="Calibri" w:eastAsia="Times New Roman" w:hAnsi="Calibri" w:cs="Times New Roman"/>
          <w:spacing w:val="0"/>
          <w:sz w:val="22"/>
          <w:szCs w:val="22"/>
          <w:lang w:val="en-US"/>
        </w:rPr>
      </w:pPr>
      <w:hyperlink w:anchor="_Toc450121995" w:history="1">
        <w:r w:rsidR="00815C58" w:rsidRPr="00141CF6">
          <w:rPr>
            <w:rStyle w:val="Hypertextovodkaz"/>
          </w:rPr>
          <w:t>3.2</w:t>
        </w:r>
        <w:r w:rsidR="00815C58" w:rsidRPr="007E4048">
          <w:rPr>
            <w:rFonts w:ascii="Calibri" w:eastAsia="Times New Roman" w:hAnsi="Calibri" w:cs="Times New Roman"/>
            <w:spacing w:val="0"/>
            <w:sz w:val="22"/>
            <w:szCs w:val="22"/>
            <w:lang w:val="en-US"/>
          </w:rPr>
          <w:tab/>
        </w:r>
        <w:r w:rsidR="00815C58" w:rsidRPr="00141CF6">
          <w:rPr>
            <w:rStyle w:val="Hypertextovodkaz"/>
          </w:rPr>
          <w:t>Ceny energie</w:t>
        </w:r>
        <w:r w:rsidR="00815C58">
          <w:rPr>
            <w:webHidden/>
          </w:rPr>
          <w:tab/>
        </w:r>
        <w:r w:rsidR="00815C58">
          <w:rPr>
            <w:webHidden/>
          </w:rPr>
          <w:fldChar w:fldCharType="begin"/>
        </w:r>
        <w:r w:rsidR="00815C58">
          <w:rPr>
            <w:webHidden/>
          </w:rPr>
          <w:instrText xml:space="preserve"> PAGEREF _Toc450121995 \h </w:instrText>
        </w:r>
        <w:r w:rsidR="00815C58">
          <w:rPr>
            <w:webHidden/>
          </w:rPr>
        </w:r>
        <w:r w:rsidR="00815C58">
          <w:rPr>
            <w:webHidden/>
          </w:rPr>
          <w:fldChar w:fldCharType="separate"/>
        </w:r>
        <w:r w:rsidR="008553E3">
          <w:rPr>
            <w:webHidden/>
          </w:rPr>
          <w:t>6</w:t>
        </w:r>
        <w:r w:rsidR="00815C58">
          <w:rPr>
            <w:webHidden/>
          </w:rPr>
          <w:fldChar w:fldCharType="end"/>
        </w:r>
      </w:hyperlink>
    </w:p>
    <w:p w:rsidR="00815C58" w:rsidRPr="007E4048" w:rsidRDefault="00961EFF">
      <w:pPr>
        <w:pStyle w:val="Obsah2"/>
        <w:rPr>
          <w:rFonts w:ascii="Calibri" w:eastAsia="Times New Roman" w:hAnsi="Calibri" w:cs="Times New Roman"/>
          <w:spacing w:val="0"/>
          <w:sz w:val="22"/>
          <w:szCs w:val="22"/>
          <w:lang w:val="en-US"/>
        </w:rPr>
      </w:pPr>
      <w:hyperlink w:anchor="_Toc450121996" w:history="1">
        <w:r w:rsidR="00815C58" w:rsidRPr="00141CF6">
          <w:rPr>
            <w:rStyle w:val="Hypertextovodkaz"/>
            <w:rFonts w:cs="Times New Roman"/>
          </w:rPr>
          <w:t>3.3</w:t>
        </w:r>
        <w:r w:rsidR="00815C58" w:rsidRPr="007E4048">
          <w:rPr>
            <w:rFonts w:ascii="Calibri" w:eastAsia="Times New Roman" w:hAnsi="Calibri" w:cs="Times New Roman"/>
            <w:spacing w:val="0"/>
            <w:sz w:val="22"/>
            <w:szCs w:val="22"/>
            <w:lang w:val="en-US"/>
          </w:rPr>
          <w:tab/>
        </w:r>
        <w:r w:rsidR="00815C58" w:rsidRPr="00141CF6">
          <w:rPr>
            <w:rStyle w:val="Hypertextovodkaz"/>
          </w:rPr>
          <w:t>Náklady</w:t>
        </w:r>
        <w:r w:rsidR="00815C58">
          <w:rPr>
            <w:webHidden/>
          </w:rPr>
          <w:tab/>
        </w:r>
        <w:r w:rsidR="00815C58">
          <w:rPr>
            <w:webHidden/>
          </w:rPr>
          <w:fldChar w:fldCharType="begin"/>
        </w:r>
        <w:r w:rsidR="00815C58">
          <w:rPr>
            <w:webHidden/>
          </w:rPr>
          <w:instrText xml:space="preserve"> PAGEREF _Toc450121996 \h </w:instrText>
        </w:r>
        <w:r w:rsidR="00815C58">
          <w:rPr>
            <w:webHidden/>
          </w:rPr>
        </w:r>
        <w:r w:rsidR="00815C58">
          <w:rPr>
            <w:webHidden/>
          </w:rPr>
          <w:fldChar w:fldCharType="separate"/>
        </w:r>
        <w:r w:rsidR="008553E3">
          <w:rPr>
            <w:webHidden/>
          </w:rPr>
          <w:t>7</w:t>
        </w:r>
        <w:r w:rsidR="00815C58">
          <w:rPr>
            <w:webHidden/>
          </w:rPr>
          <w:fldChar w:fldCharType="end"/>
        </w:r>
      </w:hyperlink>
    </w:p>
    <w:p w:rsidR="00815C58" w:rsidRPr="007E4048" w:rsidRDefault="00961EFF">
      <w:pPr>
        <w:pStyle w:val="Obsah2"/>
        <w:rPr>
          <w:rFonts w:ascii="Calibri" w:eastAsia="Times New Roman" w:hAnsi="Calibri" w:cs="Times New Roman"/>
          <w:spacing w:val="0"/>
          <w:sz w:val="22"/>
          <w:szCs w:val="22"/>
          <w:lang w:val="en-US"/>
        </w:rPr>
      </w:pPr>
      <w:hyperlink w:anchor="_Toc450121997" w:history="1">
        <w:r w:rsidR="00815C58" w:rsidRPr="00141CF6">
          <w:rPr>
            <w:rStyle w:val="Hypertextovodkaz"/>
            <w:rFonts w:cs="Times New Roman"/>
          </w:rPr>
          <w:t>3.4</w:t>
        </w:r>
        <w:r w:rsidR="00815C58" w:rsidRPr="007E4048">
          <w:rPr>
            <w:rFonts w:ascii="Calibri" w:eastAsia="Times New Roman" w:hAnsi="Calibri" w:cs="Times New Roman"/>
            <w:spacing w:val="0"/>
            <w:sz w:val="22"/>
            <w:szCs w:val="22"/>
            <w:lang w:val="en-US"/>
          </w:rPr>
          <w:tab/>
        </w:r>
        <w:r w:rsidR="00815C58" w:rsidRPr="00141CF6">
          <w:rPr>
            <w:rStyle w:val="Hypertextovodkaz"/>
          </w:rPr>
          <w:t>Palivová základna</w:t>
        </w:r>
        <w:r w:rsidR="00815C58">
          <w:rPr>
            <w:webHidden/>
          </w:rPr>
          <w:tab/>
        </w:r>
        <w:r w:rsidR="00815C58">
          <w:rPr>
            <w:webHidden/>
          </w:rPr>
          <w:fldChar w:fldCharType="begin"/>
        </w:r>
        <w:r w:rsidR="00815C58">
          <w:rPr>
            <w:webHidden/>
          </w:rPr>
          <w:instrText xml:space="preserve"> PAGEREF _Toc450121997 \h </w:instrText>
        </w:r>
        <w:r w:rsidR="00815C58">
          <w:rPr>
            <w:webHidden/>
          </w:rPr>
        </w:r>
        <w:r w:rsidR="00815C58">
          <w:rPr>
            <w:webHidden/>
          </w:rPr>
          <w:fldChar w:fldCharType="separate"/>
        </w:r>
        <w:r w:rsidR="008553E3">
          <w:rPr>
            <w:webHidden/>
          </w:rPr>
          <w:t>7</w:t>
        </w:r>
        <w:r w:rsidR="00815C58">
          <w:rPr>
            <w:webHidden/>
          </w:rPr>
          <w:fldChar w:fldCharType="end"/>
        </w:r>
      </w:hyperlink>
    </w:p>
    <w:p w:rsidR="00815C58" w:rsidRPr="007E4048" w:rsidRDefault="00961EFF">
      <w:pPr>
        <w:pStyle w:val="Obsah2"/>
        <w:rPr>
          <w:rFonts w:ascii="Calibri" w:eastAsia="Times New Roman" w:hAnsi="Calibri" w:cs="Times New Roman"/>
          <w:spacing w:val="0"/>
          <w:sz w:val="22"/>
          <w:szCs w:val="22"/>
          <w:lang w:val="en-US"/>
        </w:rPr>
      </w:pPr>
      <w:hyperlink w:anchor="_Toc450121998" w:history="1">
        <w:r w:rsidR="00815C58" w:rsidRPr="00141CF6">
          <w:rPr>
            <w:rStyle w:val="Hypertextovodkaz"/>
          </w:rPr>
          <w:t>3.5</w:t>
        </w:r>
        <w:r w:rsidR="00815C58" w:rsidRPr="007E4048">
          <w:rPr>
            <w:rFonts w:ascii="Calibri" w:eastAsia="Times New Roman" w:hAnsi="Calibri" w:cs="Times New Roman"/>
            <w:spacing w:val="0"/>
            <w:sz w:val="22"/>
            <w:szCs w:val="22"/>
            <w:lang w:val="en-US"/>
          </w:rPr>
          <w:tab/>
        </w:r>
        <w:r w:rsidR="00815C58" w:rsidRPr="00141CF6">
          <w:rPr>
            <w:rStyle w:val="Hypertextovodkaz"/>
          </w:rPr>
          <w:t>Měrné ukazatele</w:t>
        </w:r>
        <w:r w:rsidR="00815C58">
          <w:rPr>
            <w:webHidden/>
          </w:rPr>
          <w:tab/>
        </w:r>
        <w:r w:rsidR="00815C58">
          <w:rPr>
            <w:webHidden/>
          </w:rPr>
          <w:fldChar w:fldCharType="begin"/>
        </w:r>
        <w:r w:rsidR="00815C58">
          <w:rPr>
            <w:webHidden/>
          </w:rPr>
          <w:instrText xml:space="preserve"> PAGEREF _Toc450121998 \h </w:instrText>
        </w:r>
        <w:r w:rsidR="00815C58">
          <w:rPr>
            <w:webHidden/>
          </w:rPr>
        </w:r>
        <w:r w:rsidR="00815C58">
          <w:rPr>
            <w:webHidden/>
          </w:rPr>
          <w:fldChar w:fldCharType="separate"/>
        </w:r>
        <w:r w:rsidR="008553E3">
          <w:rPr>
            <w:webHidden/>
          </w:rPr>
          <w:t>8</w:t>
        </w:r>
        <w:r w:rsidR="00815C58">
          <w:rPr>
            <w:webHidden/>
          </w:rPr>
          <w:fldChar w:fldCharType="end"/>
        </w:r>
      </w:hyperlink>
    </w:p>
    <w:p w:rsidR="00815C58" w:rsidRPr="007E4048" w:rsidRDefault="00961EFF">
      <w:pPr>
        <w:pStyle w:val="Obsah1"/>
        <w:rPr>
          <w:rFonts w:ascii="Calibri" w:eastAsia="Times New Roman" w:hAnsi="Calibri" w:cs="Times New Roman"/>
          <w:b w:val="0"/>
          <w:bCs w:val="0"/>
          <w:caps w:val="0"/>
          <w:spacing w:val="0"/>
          <w:lang w:val="en-US"/>
        </w:rPr>
      </w:pPr>
      <w:hyperlink w:anchor="_Toc450121999" w:history="1">
        <w:r w:rsidR="00815C58" w:rsidRPr="00141CF6">
          <w:rPr>
            <w:rStyle w:val="Hypertextovodkaz"/>
            <w:rFonts w:cs="Times New Roman"/>
          </w:rPr>
          <w:t>4.</w:t>
        </w:r>
        <w:r w:rsidR="00815C58" w:rsidRPr="007E4048">
          <w:rPr>
            <w:rFonts w:ascii="Calibri" w:eastAsia="Times New Roman" w:hAnsi="Calibri" w:cs="Times New Roman"/>
            <w:b w:val="0"/>
            <w:bCs w:val="0"/>
            <w:caps w:val="0"/>
            <w:spacing w:val="0"/>
            <w:lang w:val="en-US"/>
          </w:rPr>
          <w:tab/>
        </w:r>
        <w:r w:rsidR="00815C58" w:rsidRPr="00141CF6">
          <w:rPr>
            <w:rStyle w:val="Hypertextovodkaz"/>
          </w:rPr>
          <w:t>Souhrn dosažených výsledků</w:t>
        </w:r>
        <w:r w:rsidR="00815C58">
          <w:rPr>
            <w:webHidden/>
          </w:rPr>
          <w:tab/>
        </w:r>
        <w:r w:rsidR="00815C58">
          <w:rPr>
            <w:webHidden/>
          </w:rPr>
          <w:fldChar w:fldCharType="begin"/>
        </w:r>
        <w:r w:rsidR="00815C58">
          <w:rPr>
            <w:webHidden/>
          </w:rPr>
          <w:instrText xml:space="preserve"> PAGEREF _Toc450121999 \h </w:instrText>
        </w:r>
        <w:r w:rsidR="00815C58">
          <w:rPr>
            <w:webHidden/>
          </w:rPr>
        </w:r>
        <w:r w:rsidR="00815C58">
          <w:rPr>
            <w:webHidden/>
          </w:rPr>
          <w:fldChar w:fldCharType="separate"/>
        </w:r>
        <w:r w:rsidR="008553E3">
          <w:rPr>
            <w:webHidden/>
          </w:rPr>
          <w:t>9</w:t>
        </w:r>
        <w:r w:rsidR="00815C58">
          <w:rPr>
            <w:webHidden/>
          </w:rPr>
          <w:fldChar w:fldCharType="end"/>
        </w:r>
      </w:hyperlink>
    </w:p>
    <w:p w:rsidR="00815C58" w:rsidRPr="007E4048" w:rsidRDefault="00961EFF">
      <w:pPr>
        <w:pStyle w:val="Obsah2"/>
        <w:rPr>
          <w:rFonts w:ascii="Calibri" w:eastAsia="Times New Roman" w:hAnsi="Calibri" w:cs="Times New Roman"/>
          <w:spacing w:val="0"/>
          <w:sz w:val="22"/>
          <w:szCs w:val="22"/>
          <w:lang w:val="en-US"/>
        </w:rPr>
      </w:pPr>
      <w:hyperlink w:anchor="_Toc450122000" w:history="1">
        <w:r w:rsidR="00815C58" w:rsidRPr="00141CF6">
          <w:rPr>
            <w:rStyle w:val="Hypertextovodkaz"/>
          </w:rPr>
          <w:t>4.1</w:t>
        </w:r>
        <w:r w:rsidR="00815C58" w:rsidRPr="007E4048">
          <w:rPr>
            <w:rFonts w:ascii="Calibri" w:eastAsia="Times New Roman" w:hAnsi="Calibri" w:cs="Times New Roman"/>
            <w:spacing w:val="0"/>
            <w:sz w:val="22"/>
            <w:szCs w:val="22"/>
            <w:lang w:val="en-US"/>
          </w:rPr>
          <w:tab/>
        </w:r>
        <w:r w:rsidR="00815C58" w:rsidRPr="00141CF6">
          <w:rPr>
            <w:rStyle w:val="Hypertextovodkaz"/>
          </w:rPr>
          <w:t>Úsporná opatření</w:t>
        </w:r>
        <w:r w:rsidR="00815C58">
          <w:rPr>
            <w:webHidden/>
          </w:rPr>
          <w:tab/>
        </w:r>
        <w:r w:rsidR="00815C58">
          <w:rPr>
            <w:webHidden/>
          </w:rPr>
          <w:fldChar w:fldCharType="begin"/>
        </w:r>
        <w:r w:rsidR="00815C58">
          <w:rPr>
            <w:webHidden/>
          </w:rPr>
          <w:instrText xml:space="preserve"> PAGEREF _Toc450122000 \h </w:instrText>
        </w:r>
        <w:r w:rsidR="00815C58">
          <w:rPr>
            <w:webHidden/>
          </w:rPr>
        </w:r>
        <w:r w:rsidR="00815C58">
          <w:rPr>
            <w:webHidden/>
          </w:rPr>
          <w:fldChar w:fldCharType="separate"/>
        </w:r>
        <w:r w:rsidR="008553E3">
          <w:rPr>
            <w:webHidden/>
          </w:rPr>
          <w:t>9</w:t>
        </w:r>
        <w:r w:rsidR="00815C58">
          <w:rPr>
            <w:webHidden/>
          </w:rPr>
          <w:fldChar w:fldCharType="end"/>
        </w:r>
      </w:hyperlink>
    </w:p>
    <w:p w:rsidR="00815C58" w:rsidRPr="007E4048" w:rsidRDefault="00961EFF">
      <w:pPr>
        <w:pStyle w:val="Obsah1"/>
        <w:rPr>
          <w:rFonts w:ascii="Calibri" w:eastAsia="Times New Roman" w:hAnsi="Calibri" w:cs="Times New Roman"/>
          <w:b w:val="0"/>
          <w:bCs w:val="0"/>
          <w:caps w:val="0"/>
          <w:spacing w:val="0"/>
          <w:lang w:val="en-US"/>
        </w:rPr>
      </w:pPr>
      <w:hyperlink w:anchor="_Toc450122001" w:history="1">
        <w:r w:rsidR="00815C58" w:rsidRPr="00141CF6">
          <w:rPr>
            <w:rStyle w:val="Hypertextovodkaz"/>
            <w:rFonts w:cs="Times New Roman"/>
          </w:rPr>
          <w:t>5.</w:t>
        </w:r>
        <w:r w:rsidR="00815C58" w:rsidRPr="007E4048">
          <w:rPr>
            <w:rFonts w:ascii="Calibri" w:eastAsia="Times New Roman" w:hAnsi="Calibri" w:cs="Times New Roman"/>
            <w:b w:val="0"/>
            <w:bCs w:val="0"/>
            <w:caps w:val="0"/>
            <w:spacing w:val="0"/>
            <w:lang w:val="en-US"/>
          </w:rPr>
          <w:tab/>
        </w:r>
        <w:r w:rsidR="00815C58" w:rsidRPr="00141CF6">
          <w:rPr>
            <w:rStyle w:val="Hypertextovodkaz"/>
          </w:rPr>
          <w:t>Závěr</w:t>
        </w:r>
        <w:r w:rsidR="00815C58">
          <w:rPr>
            <w:webHidden/>
          </w:rPr>
          <w:tab/>
        </w:r>
        <w:r w:rsidR="00815C58">
          <w:rPr>
            <w:webHidden/>
          </w:rPr>
          <w:fldChar w:fldCharType="begin"/>
        </w:r>
        <w:r w:rsidR="00815C58">
          <w:rPr>
            <w:webHidden/>
          </w:rPr>
          <w:instrText xml:space="preserve"> PAGEREF _Toc450122001 \h </w:instrText>
        </w:r>
        <w:r w:rsidR="00815C58">
          <w:rPr>
            <w:webHidden/>
          </w:rPr>
        </w:r>
        <w:r w:rsidR="00815C58">
          <w:rPr>
            <w:webHidden/>
          </w:rPr>
          <w:fldChar w:fldCharType="separate"/>
        </w:r>
        <w:r w:rsidR="008553E3">
          <w:rPr>
            <w:webHidden/>
          </w:rPr>
          <w:t>12</w:t>
        </w:r>
        <w:r w:rsidR="00815C58">
          <w:rPr>
            <w:webHidden/>
          </w:rPr>
          <w:fldChar w:fldCharType="end"/>
        </w:r>
      </w:hyperlink>
    </w:p>
    <w:p w:rsidR="00B469E0" w:rsidRDefault="00B469E0">
      <w:pPr>
        <w:rPr>
          <w:rFonts w:ascii="Arial" w:hAnsi="Arial" w:cs="Arial"/>
          <w:b/>
          <w:bCs/>
          <w:caps/>
          <w:noProof/>
          <w:spacing w:val="10"/>
          <w:sz w:val="20"/>
          <w:szCs w:val="20"/>
        </w:rPr>
      </w:pPr>
      <w:r w:rsidRPr="00B864F7">
        <w:rPr>
          <w:b/>
          <w:bCs/>
          <w:caps/>
          <w:sz w:val="20"/>
          <w:szCs w:val="20"/>
        </w:rPr>
        <w:fldChar w:fldCharType="end"/>
      </w:r>
    </w:p>
    <w:p w:rsidR="00B469E0" w:rsidRDefault="00B469E0">
      <w:pPr>
        <w:rPr>
          <w:rFonts w:ascii="Arial" w:hAnsi="Arial" w:cs="Arial"/>
          <w:b/>
          <w:bCs/>
          <w:caps/>
          <w:noProof/>
          <w:spacing w:val="10"/>
          <w:sz w:val="20"/>
          <w:szCs w:val="20"/>
        </w:rPr>
      </w:pPr>
    </w:p>
    <w:p w:rsidR="00B469E0" w:rsidRDefault="00B469E0">
      <w:pPr>
        <w:sectPr w:rsidR="00B469E0">
          <w:headerReference w:type="first" r:id="rId9"/>
          <w:footerReference w:type="first" r:id="rId10"/>
          <w:pgSz w:w="11906" w:h="16838" w:code="9"/>
          <w:pgMar w:top="2517" w:right="1395" w:bottom="1140" w:left="1695" w:header="709" w:footer="289" w:gutter="0"/>
          <w:cols w:space="708"/>
          <w:titlePg/>
          <w:docGrid w:linePitch="360"/>
        </w:sectPr>
      </w:pPr>
    </w:p>
    <w:p w:rsidR="00B469E0" w:rsidRPr="008464AA" w:rsidRDefault="00B469E0" w:rsidP="00C43EF2">
      <w:pPr>
        <w:pStyle w:val="Nadpis1"/>
        <w:ind w:left="0" w:firstLine="1134"/>
      </w:pPr>
      <w:bookmarkStart w:id="0" w:name="_Toc450121990"/>
      <w:r w:rsidRPr="008464AA">
        <w:lastRenderedPageBreak/>
        <w:t>Úvod</w:t>
      </w:r>
      <w:bookmarkEnd w:id="0"/>
    </w:p>
    <w:p w:rsidR="00B469E0" w:rsidRDefault="00B469E0" w:rsidP="00D46CEA">
      <w:pPr>
        <w:jc w:val="both"/>
      </w:pPr>
      <w:r>
        <w:t xml:space="preserve">Systém monitorování spotřeby energie vybraných vládních </w:t>
      </w:r>
      <w:r w:rsidR="00672A5A">
        <w:t>budov</w:t>
      </w:r>
      <w:r>
        <w:t xml:space="preserve"> je základním nástrojem pro práci meziresortní pracovní skupiny vytvořené na základě Usnesení vlády České Republiky ze dne 22. srpna 2007 č. 925</w:t>
      </w:r>
      <w:r>
        <w:rPr>
          <w:rStyle w:val="Znakapoznpodarou"/>
        </w:rPr>
        <w:footnoteReference w:id="1"/>
      </w:r>
      <w:r>
        <w:t>.</w:t>
      </w:r>
    </w:p>
    <w:p w:rsidR="00633087" w:rsidRDefault="00633087" w:rsidP="0081489A">
      <w:pPr>
        <w:jc w:val="both"/>
      </w:pPr>
      <w:r>
        <w:t xml:space="preserve">V roce 2015 probíhal monitoring spotřeby energie vybraných vládních </w:t>
      </w:r>
      <w:r w:rsidR="00672A5A">
        <w:t>budov</w:t>
      </w:r>
      <w:r>
        <w:t xml:space="preserve"> ve standardním režimu. </w:t>
      </w:r>
      <w:r w:rsidR="00D81A18">
        <w:t>Paralelně</w:t>
      </w:r>
      <w:r>
        <w:t xml:space="preserve"> s tím </w:t>
      </w:r>
      <w:r w:rsidR="00D81A18">
        <w:t xml:space="preserve">probíhaly činnosti související s implementací </w:t>
      </w:r>
      <w:r w:rsidR="00C3630F">
        <w:t>článku 5 S</w:t>
      </w:r>
      <w:r w:rsidR="00D81A18">
        <w:t xml:space="preserve">měrnice o energetické účinnosti 2012/27/EU týkající se příkladné úlohy </w:t>
      </w:r>
      <w:r w:rsidR="00C909FF">
        <w:t>státní a </w:t>
      </w:r>
      <w:r w:rsidR="00811D6B">
        <w:t>veřejné</w:t>
      </w:r>
      <w:r w:rsidR="00D81A18">
        <w:t xml:space="preserve"> </w:t>
      </w:r>
      <w:r w:rsidR="00811D6B">
        <w:t>správy v oblasti energetické náročnosti budov</w:t>
      </w:r>
      <w:r w:rsidR="00D81A18">
        <w:t>. V prosinci bylo Vládou ČR přijato usnesení č. 1035</w:t>
      </w:r>
      <w:r w:rsidR="00CD0697">
        <w:t xml:space="preserve"> ze dne 14. 12. </w:t>
      </w:r>
      <w:r w:rsidR="008C607E">
        <w:t>2015</w:t>
      </w:r>
      <w:r w:rsidR="00D81A18">
        <w:t xml:space="preserve">, které vytváří podmínky pro financování </w:t>
      </w:r>
      <w:r w:rsidR="00C3630F">
        <w:t xml:space="preserve">rekonstrukcí budov užívaných centrálními orgány státní správy a tím pro naplnění požadavků článku 5 Směrnice. </w:t>
      </w:r>
    </w:p>
    <w:p w:rsidR="00B469E0" w:rsidRDefault="00B469E0" w:rsidP="0081489A">
      <w:pPr>
        <w:jc w:val="both"/>
      </w:pPr>
      <w:r>
        <w:rPr>
          <w:b/>
          <w:bCs/>
        </w:rPr>
        <w:t xml:space="preserve">V roce </w:t>
      </w:r>
      <w:r w:rsidR="00815C58">
        <w:rPr>
          <w:b/>
          <w:bCs/>
        </w:rPr>
        <w:t>2015</w:t>
      </w:r>
      <w:r w:rsidRPr="002766D5">
        <w:rPr>
          <w:b/>
          <w:bCs/>
        </w:rPr>
        <w:t xml:space="preserve"> se podařilo resortům </w:t>
      </w:r>
      <w:r w:rsidR="00CD0697">
        <w:rPr>
          <w:b/>
          <w:bCs/>
        </w:rPr>
        <w:t>u</w:t>
      </w:r>
      <w:r w:rsidRPr="002766D5">
        <w:rPr>
          <w:b/>
          <w:bCs/>
        </w:rPr>
        <w:t xml:space="preserve"> </w:t>
      </w:r>
      <w:r w:rsidR="00C3630F">
        <w:rPr>
          <w:b/>
          <w:bCs/>
        </w:rPr>
        <w:t xml:space="preserve">původního </w:t>
      </w:r>
      <w:r w:rsidRPr="002766D5">
        <w:rPr>
          <w:b/>
          <w:bCs/>
        </w:rPr>
        <w:t xml:space="preserve">souboru sledovaných </w:t>
      </w:r>
      <w:r w:rsidR="00672A5A">
        <w:rPr>
          <w:b/>
          <w:bCs/>
        </w:rPr>
        <w:t>budov</w:t>
      </w:r>
      <w:r w:rsidRPr="002766D5">
        <w:rPr>
          <w:b/>
          <w:bCs/>
        </w:rPr>
        <w:t xml:space="preserve"> dosáhnout ve srovnání s výsledky roku </w:t>
      </w:r>
      <w:r w:rsidR="00C3630F">
        <w:rPr>
          <w:b/>
          <w:bCs/>
        </w:rPr>
        <w:t>2009 dosáhnout úspory</w:t>
      </w:r>
      <w:r w:rsidR="00811D6B">
        <w:rPr>
          <w:rStyle w:val="Znakapoznpodarou"/>
          <w:b/>
          <w:bCs/>
        </w:rPr>
        <w:footnoteReference w:id="2"/>
      </w:r>
      <w:r w:rsidR="00C3630F">
        <w:rPr>
          <w:b/>
          <w:bCs/>
        </w:rPr>
        <w:t xml:space="preserve"> ve výši 20</w:t>
      </w:r>
      <w:r>
        <w:rPr>
          <w:b/>
          <w:bCs/>
        </w:rPr>
        <w:t> </w:t>
      </w:r>
      <w:r w:rsidRPr="002766D5">
        <w:rPr>
          <w:b/>
          <w:bCs/>
        </w:rPr>
        <w:t>mil. Kč</w:t>
      </w:r>
      <w:r>
        <w:t>.</w:t>
      </w:r>
      <w:r w:rsidRPr="002766D5">
        <w:t xml:space="preserve"> </w:t>
      </w:r>
      <w:r>
        <w:t xml:space="preserve">Hlavním cílem této zprávy je sumarizovat výsledky provozu systému v roce </w:t>
      </w:r>
      <w:r w:rsidR="00815C58">
        <w:t>2015</w:t>
      </w:r>
      <w:r w:rsidR="00C909FF">
        <w:t xml:space="preserve"> a </w:t>
      </w:r>
      <w:r>
        <w:t>informovat o vývoji v oblasti zkvalitňování energetického managementu ve státní správě.</w:t>
      </w:r>
    </w:p>
    <w:p w:rsidR="00B469E0" w:rsidRDefault="00B469E0" w:rsidP="00994B70">
      <w:pPr>
        <w:jc w:val="both"/>
      </w:pPr>
    </w:p>
    <w:p w:rsidR="00B469E0" w:rsidRDefault="00B469E0" w:rsidP="00D46CEA">
      <w:pPr>
        <w:jc w:val="both"/>
      </w:pPr>
      <w:r>
        <w:br w:type="page"/>
      </w:r>
    </w:p>
    <w:p w:rsidR="00B469E0" w:rsidRPr="008464AA" w:rsidRDefault="00B469E0" w:rsidP="00C43EF2">
      <w:pPr>
        <w:pStyle w:val="Nadpis1"/>
        <w:pageBreakBefore w:val="0"/>
        <w:rPr>
          <w:rFonts w:cs="Times New Roman"/>
        </w:rPr>
      </w:pPr>
      <w:bookmarkStart w:id="1" w:name="_Toc450121991"/>
      <w:r w:rsidRPr="008464AA">
        <w:lastRenderedPageBreak/>
        <w:t>Systém monitoringu spotřeb</w:t>
      </w:r>
      <w:r>
        <w:t>y</w:t>
      </w:r>
      <w:bookmarkEnd w:id="1"/>
    </w:p>
    <w:p w:rsidR="00B469E0" w:rsidRDefault="00B469E0" w:rsidP="00C43EF2">
      <w:pPr>
        <w:pStyle w:val="Nadpis2"/>
        <w:rPr>
          <w:rFonts w:cs="Times New Roman"/>
        </w:rPr>
      </w:pPr>
      <w:bookmarkStart w:id="2" w:name="_Toc450121992"/>
      <w:r>
        <w:t xml:space="preserve">Provoz systému v roce </w:t>
      </w:r>
      <w:r w:rsidR="00815C58">
        <w:t>2015</w:t>
      </w:r>
      <w:bookmarkEnd w:id="2"/>
    </w:p>
    <w:p w:rsidR="00B469E0" w:rsidRDefault="00B469E0" w:rsidP="00030EE5">
      <w:pPr>
        <w:jc w:val="both"/>
      </w:pPr>
      <w:r>
        <w:t>Systém monitorování spotřeby en</w:t>
      </w:r>
      <w:r w:rsidR="00C3630F">
        <w:t>ergie vládních budov byl v roce</w:t>
      </w:r>
      <w:r>
        <w:t xml:space="preserve"> </w:t>
      </w:r>
      <w:r w:rsidR="00815C58">
        <w:t>2015</w:t>
      </w:r>
      <w:r>
        <w:t xml:space="preserve"> provozován standardním způsobem. Na provozu systému spolupracoval administrátor systému se všemi resortními energetiky a správci sledovaných </w:t>
      </w:r>
      <w:r w:rsidR="00AA6A54">
        <w:t>budov</w:t>
      </w:r>
      <w:r>
        <w:t>. Ti od roku 2009 poskytují v</w:t>
      </w:r>
      <w:r w:rsidR="00E55B6E">
        <w:t> </w:t>
      </w:r>
      <w:r>
        <w:t>měsíčních</w:t>
      </w:r>
      <w:r w:rsidR="00E55B6E">
        <w:t>,</w:t>
      </w:r>
      <w:r>
        <w:t xml:space="preserve"> respektive ročních intervalech celkové informace o spotřebě energie, s ní spojených nákladech, stavu a způsobu provozování vybraných významných budov jednotlivých resortů a Úřadu vlády ČR.</w:t>
      </w:r>
    </w:p>
    <w:p w:rsidR="00B469E0" w:rsidRDefault="00B469E0" w:rsidP="00030EE5">
      <w:pPr>
        <w:jc w:val="both"/>
      </w:pPr>
      <w:r>
        <w:t xml:space="preserve">V průběhu minulého roku nedošlo v rozsahu sledovaných </w:t>
      </w:r>
      <w:r w:rsidR="00AA6A54">
        <w:t>budov</w:t>
      </w:r>
      <w:r>
        <w:t xml:space="preserve"> či informací k žádným zásadním změnám. V roce </w:t>
      </w:r>
      <w:r w:rsidR="00815C58">
        <w:t>2015</w:t>
      </w:r>
      <w:r>
        <w:t xml:space="preserve"> bylo na </w:t>
      </w:r>
      <w:proofErr w:type="gramStart"/>
      <w:r>
        <w:t>50ti</w:t>
      </w:r>
      <w:proofErr w:type="gramEnd"/>
      <w:r>
        <w:t xml:space="preserve"> vybraných </w:t>
      </w:r>
      <w:r w:rsidR="00AA6A54">
        <w:t>budovách</w:t>
      </w:r>
      <w:r w:rsidR="00C909FF">
        <w:t xml:space="preserve"> napříč všemi resorty a </w:t>
      </w:r>
      <w:r>
        <w:t xml:space="preserve">Úřadem vlády ČR monitorováno celkem 88 toků energie. Celková energeticky vztažná plocha monitorovaných </w:t>
      </w:r>
      <w:r w:rsidR="00815C58">
        <w:t>budov</w:t>
      </w:r>
      <w:r>
        <w:t xml:space="preserve"> činila 721 tis. m</w:t>
      </w:r>
      <w:r w:rsidRPr="004A7FE9">
        <w:rPr>
          <w:vertAlign w:val="superscript"/>
        </w:rPr>
        <w:t>2</w:t>
      </w:r>
      <w:r>
        <w:t>.</w:t>
      </w:r>
    </w:p>
    <w:tbl>
      <w:tblPr>
        <w:tblW w:w="0" w:type="auto"/>
        <w:tblInd w:w="52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7"/>
        <w:gridCol w:w="2391"/>
      </w:tblGrid>
      <w:tr w:rsidR="00B469E0" w:rsidRPr="00DE6F3B" w:rsidTr="00D34EE7">
        <w:trPr>
          <w:trHeight w:val="730"/>
        </w:trPr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auto"/>
            <w:vAlign w:val="center"/>
          </w:tcPr>
          <w:p w:rsidR="00B469E0" w:rsidRPr="00362BB3" w:rsidRDefault="00B469E0" w:rsidP="00DE6F3B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362B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  <w:t>Resort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auto"/>
            <w:vAlign w:val="center"/>
          </w:tcPr>
          <w:p w:rsidR="00B469E0" w:rsidRPr="00362BB3" w:rsidRDefault="00B469E0" w:rsidP="00AA6A54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proofErr w:type="spellStart"/>
            <w:r w:rsidRPr="00362B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  <w:t>Počet</w:t>
            </w:r>
            <w:proofErr w:type="spellEnd"/>
            <w:r w:rsidRPr="00362B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00362B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  <w:t>monitorovaných</w:t>
            </w:r>
            <w:proofErr w:type="spellEnd"/>
            <w:r w:rsidRPr="00362B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0AA6A5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  <w:t>budov</w:t>
            </w:r>
            <w:proofErr w:type="spellEnd"/>
          </w:p>
        </w:tc>
      </w:tr>
      <w:tr w:rsidR="00B469E0" w:rsidTr="00D34EE7">
        <w:trPr>
          <w:trHeight w:val="270"/>
        </w:trPr>
        <w:tc>
          <w:tcPr>
            <w:tcW w:w="14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69E0" w:rsidRDefault="00B469E0" w:rsidP="00DE6F3B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  <w:t>MD</w:t>
            </w:r>
          </w:p>
        </w:tc>
        <w:tc>
          <w:tcPr>
            <w:tcW w:w="23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69E0" w:rsidRDefault="00B469E0" w:rsidP="00DE6F3B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  <w:t>1</w:t>
            </w:r>
          </w:p>
        </w:tc>
      </w:tr>
      <w:tr w:rsidR="00B469E0" w:rsidTr="00D34EE7">
        <w:trPr>
          <w:trHeight w:val="270"/>
        </w:trPr>
        <w:tc>
          <w:tcPr>
            <w:tcW w:w="14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69E0" w:rsidRDefault="00B469E0" w:rsidP="00DE6F3B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  <w:t>MF</w:t>
            </w:r>
          </w:p>
        </w:tc>
        <w:tc>
          <w:tcPr>
            <w:tcW w:w="23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69E0" w:rsidRDefault="00B469E0" w:rsidP="00DE6F3B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  <w:t>6</w:t>
            </w:r>
          </w:p>
        </w:tc>
      </w:tr>
      <w:tr w:rsidR="00B469E0" w:rsidTr="00D34EE7">
        <w:trPr>
          <w:trHeight w:val="270"/>
        </w:trPr>
        <w:tc>
          <w:tcPr>
            <w:tcW w:w="14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69E0" w:rsidRDefault="00B469E0" w:rsidP="00DE6F3B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  <w:t>MK</w:t>
            </w:r>
          </w:p>
        </w:tc>
        <w:tc>
          <w:tcPr>
            <w:tcW w:w="23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69E0" w:rsidRDefault="00B469E0" w:rsidP="00DE6F3B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  <w:t>2</w:t>
            </w:r>
          </w:p>
        </w:tc>
      </w:tr>
      <w:tr w:rsidR="00B469E0" w:rsidTr="00D34EE7">
        <w:trPr>
          <w:trHeight w:val="270"/>
        </w:trPr>
        <w:tc>
          <w:tcPr>
            <w:tcW w:w="14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69E0" w:rsidRDefault="00B469E0" w:rsidP="00DE6F3B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  <w:t>MMR</w:t>
            </w:r>
          </w:p>
        </w:tc>
        <w:tc>
          <w:tcPr>
            <w:tcW w:w="23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69E0" w:rsidRDefault="00B469E0" w:rsidP="00DE6F3B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  <w:t>3</w:t>
            </w:r>
          </w:p>
        </w:tc>
      </w:tr>
      <w:tr w:rsidR="00B469E0" w:rsidTr="00D34EE7">
        <w:trPr>
          <w:trHeight w:val="270"/>
        </w:trPr>
        <w:tc>
          <w:tcPr>
            <w:tcW w:w="14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69E0" w:rsidRDefault="00B469E0" w:rsidP="00DE6F3B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  <w:t>MO</w:t>
            </w:r>
          </w:p>
        </w:tc>
        <w:tc>
          <w:tcPr>
            <w:tcW w:w="23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69E0" w:rsidRDefault="00B469E0" w:rsidP="00DE6F3B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  <w:t>5</w:t>
            </w:r>
          </w:p>
        </w:tc>
      </w:tr>
      <w:tr w:rsidR="00B469E0" w:rsidTr="00D34EE7">
        <w:trPr>
          <w:trHeight w:val="270"/>
        </w:trPr>
        <w:tc>
          <w:tcPr>
            <w:tcW w:w="14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69E0" w:rsidRDefault="00B469E0" w:rsidP="00DE6F3B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  <w:t>MPO</w:t>
            </w:r>
          </w:p>
        </w:tc>
        <w:tc>
          <w:tcPr>
            <w:tcW w:w="23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69E0" w:rsidRDefault="00B469E0" w:rsidP="00DE6F3B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  <w:t>3</w:t>
            </w:r>
          </w:p>
        </w:tc>
      </w:tr>
      <w:tr w:rsidR="00B469E0" w:rsidTr="00D34EE7">
        <w:trPr>
          <w:trHeight w:val="270"/>
        </w:trPr>
        <w:tc>
          <w:tcPr>
            <w:tcW w:w="14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69E0" w:rsidRDefault="00B469E0" w:rsidP="00DE6F3B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  <w:t>MPSV</w:t>
            </w:r>
          </w:p>
        </w:tc>
        <w:tc>
          <w:tcPr>
            <w:tcW w:w="23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69E0" w:rsidRDefault="00B469E0" w:rsidP="00DE6F3B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  <w:t>1</w:t>
            </w:r>
          </w:p>
        </w:tc>
      </w:tr>
      <w:tr w:rsidR="00B469E0" w:rsidTr="00D34EE7">
        <w:trPr>
          <w:trHeight w:val="270"/>
        </w:trPr>
        <w:tc>
          <w:tcPr>
            <w:tcW w:w="14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69E0" w:rsidRDefault="00B469E0" w:rsidP="00DE6F3B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  <w:t>MŠMT</w:t>
            </w:r>
          </w:p>
        </w:tc>
        <w:tc>
          <w:tcPr>
            <w:tcW w:w="23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69E0" w:rsidRDefault="00B469E0" w:rsidP="00DE6F3B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  <w:t>3</w:t>
            </w:r>
          </w:p>
        </w:tc>
      </w:tr>
      <w:tr w:rsidR="00B469E0" w:rsidTr="00D34EE7">
        <w:trPr>
          <w:trHeight w:val="270"/>
        </w:trPr>
        <w:tc>
          <w:tcPr>
            <w:tcW w:w="14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69E0" w:rsidRDefault="00B469E0" w:rsidP="00DE6F3B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  <w:t>MSp</w:t>
            </w:r>
            <w:proofErr w:type="spellEnd"/>
          </w:p>
        </w:tc>
        <w:tc>
          <w:tcPr>
            <w:tcW w:w="23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69E0" w:rsidRDefault="00B469E0" w:rsidP="00DE6F3B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  <w:t>2</w:t>
            </w:r>
          </w:p>
        </w:tc>
      </w:tr>
      <w:tr w:rsidR="00B469E0" w:rsidTr="00D34EE7">
        <w:trPr>
          <w:trHeight w:val="270"/>
        </w:trPr>
        <w:tc>
          <w:tcPr>
            <w:tcW w:w="14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69E0" w:rsidRDefault="00B469E0" w:rsidP="00DE6F3B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  <w:t>MV</w:t>
            </w:r>
          </w:p>
        </w:tc>
        <w:tc>
          <w:tcPr>
            <w:tcW w:w="23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69E0" w:rsidRDefault="00B469E0" w:rsidP="00DE6F3B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  <w:t>7</w:t>
            </w:r>
          </w:p>
        </w:tc>
      </w:tr>
      <w:tr w:rsidR="00B469E0" w:rsidTr="00D34EE7">
        <w:trPr>
          <w:trHeight w:val="270"/>
        </w:trPr>
        <w:tc>
          <w:tcPr>
            <w:tcW w:w="14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69E0" w:rsidRDefault="00B469E0" w:rsidP="00DE6F3B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  <w:t>MZ</w:t>
            </w:r>
          </w:p>
        </w:tc>
        <w:tc>
          <w:tcPr>
            <w:tcW w:w="23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69E0" w:rsidRDefault="00B469E0" w:rsidP="00DE6F3B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  <w:t>1</w:t>
            </w:r>
          </w:p>
        </w:tc>
      </w:tr>
      <w:tr w:rsidR="00B469E0" w:rsidTr="00D34EE7">
        <w:trPr>
          <w:trHeight w:val="270"/>
        </w:trPr>
        <w:tc>
          <w:tcPr>
            <w:tcW w:w="14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69E0" w:rsidRDefault="00B469E0" w:rsidP="00DE6F3B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  <w:t>MZe</w:t>
            </w:r>
            <w:proofErr w:type="spellEnd"/>
          </w:p>
        </w:tc>
        <w:tc>
          <w:tcPr>
            <w:tcW w:w="23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69E0" w:rsidRDefault="00B469E0" w:rsidP="00DE6F3B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  <w:t>3</w:t>
            </w:r>
          </w:p>
        </w:tc>
      </w:tr>
      <w:tr w:rsidR="00B469E0" w:rsidTr="00D34EE7">
        <w:trPr>
          <w:trHeight w:val="270"/>
        </w:trPr>
        <w:tc>
          <w:tcPr>
            <w:tcW w:w="14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69E0" w:rsidRDefault="00B469E0" w:rsidP="00DE6F3B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  <w:t>MŽP</w:t>
            </w:r>
          </w:p>
        </w:tc>
        <w:tc>
          <w:tcPr>
            <w:tcW w:w="23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69E0" w:rsidRDefault="00B469E0" w:rsidP="00DE6F3B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  <w:t>1</w:t>
            </w:r>
          </w:p>
        </w:tc>
      </w:tr>
      <w:tr w:rsidR="00B469E0" w:rsidTr="00D34EE7">
        <w:trPr>
          <w:trHeight w:val="270"/>
        </w:trPr>
        <w:tc>
          <w:tcPr>
            <w:tcW w:w="14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69E0" w:rsidRDefault="00B469E0" w:rsidP="00DE6F3B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  <w:t>MZV</w:t>
            </w:r>
          </w:p>
        </w:tc>
        <w:tc>
          <w:tcPr>
            <w:tcW w:w="23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69E0" w:rsidRDefault="00B469E0" w:rsidP="00DE6F3B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  <w:t>4</w:t>
            </w:r>
          </w:p>
        </w:tc>
      </w:tr>
      <w:tr w:rsidR="00B469E0" w:rsidTr="00D34EE7">
        <w:trPr>
          <w:trHeight w:val="270"/>
        </w:trPr>
        <w:tc>
          <w:tcPr>
            <w:tcW w:w="14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69E0" w:rsidRDefault="00B469E0" w:rsidP="00DE6F3B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  <w:t>ÚV ČR</w:t>
            </w:r>
          </w:p>
        </w:tc>
        <w:tc>
          <w:tcPr>
            <w:tcW w:w="23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</w:tcPr>
          <w:p w:rsidR="00B469E0" w:rsidRDefault="00B469E0" w:rsidP="00DE6F3B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cs-CZ"/>
              </w:rPr>
              <w:t>8</w:t>
            </w:r>
          </w:p>
        </w:tc>
      </w:tr>
    </w:tbl>
    <w:p w:rsidR="00B469E0" w:rsidRDefault="00B469E0" w:rsidP="00030EE5">
      <w:pPr>
        <w:jc w:val="both"/>
      </w:pPr>
    </w:p>
    <w:p w:rsidR="00B469E0" w:rsidRDefault="00B469E0" w:rsidP="004A7FE9">
      <w:pPr>
        <w:pStyle w:val="Titulek"/>
      </w:pPr>
      <w:r>
        <w:t xml:space="preserve">Tabulka </w:t>
      </w:r>
      <w:r w:rsidR="00123915">
        <w:fldChar w:fldCharType="begin"/>
      </w:r>
      <w:r w:rsidR="00123915">
        <w:instrText xml:space="preserve"> SEQ Tabulka \* ARABIC </w:instrText>
      </w:r>
      <w:r w:rsidR="00123915">
        <w:fldChar w:fldCharType="separate"/>
      </w:r>
      <w:r w:rsidR="008553E3">
        <w:rPr>
          <w:noProof/>
        </w:rPr>
        <w:t>1</w:t>
      </w:r>
      <w:r w:rsidR="00123915">
        <w:rPr>
          <w:noProof/>
        </w:rPr>
        <w:fldChar w:fldCharType="end"/>
      </w:r>
      <w:r>
        <w:t xml:space="preserve"> – Počty monitorovaných budov jednotlivých resortů</w:t>
      </w:r>
      <w:r w:rsidR="00815C58">
        <w:t xml:space="preserve"> v roce 2015</w:t>
      </w:r>
    </w:p>
    <w:p w:rsidR="00B469E0" w:rsidRDefault="00B469E0" w:rsidP="00030EE5">
      <w:pPr>
        <w:jc w:val="both"/>
      </w:pPr>
      <w:r>
        <w:t xml:space="preserve">K dnešnímu dni je k dispozici již </w:t>
      </w:r>
      <w:r w:rsidR="00815C58">
        <w:t>sedmiletá</w:t>
      </w:r>
      <w:r>
        <w:t xml:space="preserve"> řada informací o energetické náročnosti všech sledovaných budov. Zkušenosti nabyté provozováním systému na vybraném vzorku budov a existence koordinované meziresortní pracovní skupiny významně pomáhají při přípravě implementace požadavků kladených na veřejné instituce v souvislosti se směrnicí o energetické účinnosti i požadavky národní legislativy.</w:t>
      </w:r>
    </w:p>
    <w:p w:rsidR="00B469E0" w:rsidRDefault="00B469E0" w:rsidP="005D5C1E">
      <w:pPr>
        <w:jc w:val="both"/>
      </w:pPr>
      <w:r>
        <w:t xml:space="preserve">Správce systému zajišťuje v průběhu roku administraci webového portálu pro sběr relevantních informací o </w:t>
      </w:r>
      <w:r w:rsidR="00991D4F">
        <w:t>budovách</w:t>
      </w:r>
      <w:r>
        <w:t>, kontrolu úplnosti a správnosti poskytovaných dat, upozorňuje na zjištěné nesrovnalosti a pomáhá při jejich vysvětlování a odstraňování.</w:t>
      </w:r>
    </w:p>
    <w:p w:rsidR="00B469E0" w:rsidRDefault="00B469E0" w:rsidP="00C43EF2">
      <w:pPr>
        <w:pStyle w:val="Nadpis1"/>
        <w:pageBreakBefore w:val="0"/>
        <w:rPr>
          <w:rFonts w:cs="Times New Roman"/>
        </w:rPr>
      </w:pPr>
      <w:bookmarkStart w:id="3" w:name="_Toc450121993"/>
      <w:r w:rsidRPr="00C01596">
        <w:t>Analýza monitorovaných dat</w:t>
      </w:r>
      <w:bookmarkEnd w:id="3"/>
    </w:p>
    <w:p w:rsidR="00B469E0" w:rsidRDefault="00B469E0" w:rsidP="005D5C1E">
      <w:pPr>
        <w:jc w:val="both"/>
      </w:pPr>
      <w:r>
        <w:t xml:space="preserve">V průběhu roku </w:t>
      </w:r>
      <w:r w:rsidR="00815C58">
        <w:t>2015</w:t>
      </w:r>
      <w:r>
        <w:t xml:space="preserve"> se soubor monitorovaných </w:t>
      </w:r>
      <w:r w:rsidR="00991D4F">
        <w:t>budov</w:t>
      </w:r>
      <w:r w:rsidR="00CD0697">
        <w:t xml:space="preserve"> zásadně nezměnil. D</w:t>
      </w:r>
      <w:r w:rsidR="00221620">
        <w:t xml:space="preserve">le dostupných informací nebyl na žádné ze sledovaných budov ani proveden významnější </w:t>
      </w:r>
      <w:r w:rsidR="00221620">
        <w:lastRenderedPageBreak/>
        <w:t>stavební či technologický zásah, který mohl významněji ovlivnit energetickou náročnost budov</w:t>
      </w:r>
      <w:r>
        <w:t>.</w:t>
      </w:r>
      <w:r w:rsidR="00221620">
        <w:t xml:space="preserve"> Z výsledků monitoringu přesto vyplývá, že se ve srovnání s rokem 2014 mírně zvýšilo tempo dosahování úspor.</w:t>
      </w:r>
      <w:r w:rsidR="00B97ECB">
        <w:t xml:space="preserve"> Tuto skutečnost přičítáme jednak lepšímu operativnímu provozování bud</w:t>
      </w:r>
      <w:r w:rsidR="00811D6B">
        <w:t>ov,</w:t>
      </w:r>
      <w:r w:rsidR="00B97ECB">
        <w:t xml:space="preserve"> možné realizaci dílčích úsporných opatření menšího rázu, o</w:t>
      </w:r>
      <w:r w:rsidR="00811D6B">
        <w:t xml:space="preserve"> kterém jsme nebyli informováni</w:t>
      </w:r>
      <w:r w:rsidR="00E55B6E">
        <w:t>,</w:t>
      </w:r>
      <w:r w:rsidR="00811D6B">
        <w:t xml:space="preserve"> případně změnám ve využití budov.</w:t>
      </w:r>
    </w:p>
    <w:p w:rsidR="00B469E0" w:rsidRDefault="00B469E0" w:rsidP="00CD2EEF">
      <w:pPr>
        <w:pStyle w:val="Nadpis2"/>
        <w:rPr>
          <w:rFonts w:cs="Times New Roman"/>
        </w:rPr>
      </w:pPr>
      <w:bookmarkStart w:id="4" w:name="_Toc450121994"/>
      <w:r w:rsidRPr="00C01596">
        <w:t>Spotřeba energie</w:t>
      </w:r>
      <w:bookmarkEnd w:id="4"/>
    </w:p>
    <w:p w:rsidR="00B469E0" w:rsidRDefault="00B469E0" w:rsidP="005D5C1E">
      <w:pPr>
        <w:jc w:val="both"/>
      </w:pPr>
      <w:r>
        <w:t xml:space="preserve">Graf 1 znázorňuje celkovou roční spotřebu energie všech sledovaných </w:t>
      </w:r>
      <w:proofErr w:type="spellStart"/>
      <w:r>
        <w:t>energonositelů</w:t>
      </w:r>
      <w:proofErr w:type="spellEnd"/>
      <w:r>
        <w:t xml:space="preserve"> na všech monitorovaných </w:t>
      </w:r>
      <w:r w:rsidR="00991D4F">
        <w:t>budovách</w:t>
      </w:r>
      <w:r>
        <w:t xml:space="preserve"> v letech 2009 až </w:t>
      </w:r>
      <w:r w:rsidR="00815C58">
        <w:t>2015</w:t>
      </w:r>
      <w:r>
        <w:t>.</w:t>
      </w:r>
    </w:p>
    <w:p w:rsidR="00B469E0" w:rsidRPr="009F4963" w:rsidRDefault="00CD0697" w:rsidP="00CD2EEF">
      <w:r>
        <w:rPr>
          <w:noProof/>
          <w:lang w:eastAsia="cs-CZ"/>
        </w:rPr>
        <w:drawing>
          <wp:inline distT="0" distB="0" distL="0" distR="0" wp14:anchorId="73868126">
            <wp:extent cx="5311775" cy="3275965"/>
            <wp:effectExtent l="0" t="0" r="3175" b="0"/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327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9E0" w:rsidRDefault="00B469E0" w:rsidP="009B0001">
      <w:pPr>
        <w:pStyle w:val="Titulek"/>
      </w:pPr>
      <w:r>
        <w:t xml:space="preserve">Graf </w:t>
      </w:r>
      <w:r w:rsidR="00123915">
        <w:fldChar w:fldCharType="begin"/>
      </w:r>
      <w:r w:rsidR="00123915">
        <w:instrText xml:space="preserve"> SEQ Graf \* ARABIC </w:instrText>
      </w:r>
      <w:r w:rsidR="00123915">
        <w:fldChar w:fldCharType="separate"/>
      </w:r>
      <w:r w:rsidR="008553E3">
        <w:rPr>
          <w:noProof/>
        </w:rPr>
        <w:t>1</w:t>
      </w:r>
      <w:r w:rsidR="00123915">
        <w:rPr>
          <w:noProof/>
        </w:rPr>
        <w:fldChar w:fldCharType="end"/>
      </w:r>
      <w:r>
        <w:t xml:space="preserve"> – Trend celkové spotřeby energie sledovaného souboru </w:t>
      </w:r>
      <w:r w:rsidR="00991D4F">
        <w:t>budov</w:t>
      </w:r>
      <w:r>
        <w:t xml:space="preserve"> v letech 2009 – </w:t>
      </w:r>
      <w:r w:rsidR="00815C58">
        <w:t>2015</w:t>
      </w:r>
    </w:p>
    <w:p w:rsidR="00D111D5" w:rsidRDefault="00B469E0" w:rsidP="005D5C1E">
      <w:pPr>
        <w:jc w:val="both"/>
      </w:pPr>
      <w:r>
        <w:t xml:space="preserve">Celková spotřeba energie monitorovaných budov činila v roce </w:t>
      </w:r>
      <w:r w:rsidR="00815C58">
        <w:t>2015</w:t>
      </w:r>
      <w:r w:rsidR="00D111D5">
        <w:t xml:space="preserve"> 117</w:t>
      </w:r>
      <w:r>
        <w:t xml:space="preserve"> </w:t>
      </w:r>
      <w:proofErr w:type="spellStart"/>
      <w:r>
        <w:t>GWh</w:t>
      </w:r>
      <w:proofErr w:type="spellEnd"/>
      <w:r>
        <w:t>. Me</w:t>
      </w:r>
      <w:r w:rsidR="00D111D5">
        <w:t>ziročně se tak spotřeba snížila o 0,7</w:t>
      </w:r>
      <w:r w:rsidR="00CD0697">
        <w:t xml:space="preserve"> </w:t>
      </w:r>
      <w:r w:rsidR="00D111D5">
        <w:t xml:space="preserve">%. Spotřeba energie je z důvodu velkého podílu vytápění </w:t>
      </w:r>
      <w:r w:rsidR="00C00220">
        <w:t xml:space="preserve">budov </w:t>
      </w:r>
      <w:r w:rsidR="00D111D5">
        <w:t>významně ovlivněna klimatickými podmínkami,</w:t>
      </w:r>
      <w:r w:rsidR="00C00220">
        <w:t xml:space="preserve"> zejména venkovní teplotou. </w:t>
      </w:r>
      <w:r w:rsidR="00312316">
        <w:t>Rok 2015 byl v topném období v porovnání s rokem 2014 mírně chladnější, p</w:t>
      </w:r>
      <w:r w:rsidR="00C00220">
        <w:t>očet denostupňů</w:t>
      </w:r>
      <w:r w:rsidR="00C00220">
        <w:rPr>
          <w:rStyle w:val="Znakapoznpodarou"/>
        </w:rPr>
        <w:footnoteReference w:id="3"/>
      </w:r>
      <w:r w:rsidR="00312316">
        <w:t xml:space="preserve"> </w:t>
      </w:r>
      <w:r w:rsidR="00C0435C">
        <w:t>vzrostl o 7</w:t>
      </w:r>
      <w:r w:rsidR="00CD0697">
        <w:t xml:space="preserve"> </w:t>
      </w:r>
      <w:r w:rsidR="00C0435C">
        <w:t>%</w:t>
      </w:r>
      <w:r w:rsidR="00312316">
        <w:t xml:space="preserve">, v porovnání s ostatními monitorovanými lety byl </w:t>
      </w:r>
      <w:r w:rsidR="001C2EEC">
        <w:t>přesto</w:t>
      </w:r>
      <w:r w:rsidR="00312316">
        <w:t xml:space="preserve"> druhým nejteplejším. </w:t>
      </w:r>
      <w:r w:rsidR="001C2EEC">
        <w:t xml:space="preserve">Skutečnost, že se i přes nižší průměrnou </w:t>
      </w:r>
      <w:r w:rsidR="00811D6B">
        <w:t xml:space="preserve">venkovní </w:t>
      </w:r>
      <w:r w:rsidR="001C2EEC">
        <w:t>teplotu v otopném období podařilo udržet klesající trend spotřeby energie, potvrzuje zlepšování v oblasti energetické náročnosti budov a technologi</w:t>
      </w:r>
      <w:r w:rsidR="00CD0697">
        <w:t>í spojených s jejich provozem a </w:t>
      </w:r>
      <w:r w:rsidR="001C2EEC">
        <w:t>využitím.</w:t>
      </w:r>
    </w:p>
    <w:p w:rsidR="00B469E0" w:rsidRDefault="00B469E0" w:rsidP="005D5C1E">
      <w:pPr>
        <w:jc w:val="both"/>
      </w:pPr>
      <w:r>
        <w:t>Spotřebu ene</w:t>
      </w:r>
      <w:r w:rsidR="001C2EEC">
        <w:t xml:space="preserve">rgie sledovaných </w:t>
      </w:r>
      <w:r w:rsidR="00991D4F">
        <w:t>budov</w:t>
      </w:r>
      <w:r w:rsidR="001C2EEC">
        <w:t xml:space="preserve"> zásadně</w:t>
      </w:r>
      <w:r>
        <w:t xml:space="preserve"> ovlivňuje venkovní teplota, což je patrné z</w:t>
      </w:r>
      <w:r w:rsidR="00C909FF">
        <w:t> </w:t>
      </w:r>
      <w:r w:rsidR="00123915">
        <w:fldChar w:fldCharType="begin"/>
      </w:r>
      <w:r w:rsidR="00123915">
        <w:instrText xml:space="preserve"> REF _Ref291572563 \h  \* MERGEFORMAT </w:instrText>
      </w:r>
      <w:r w:rsidR="00123915">
        <w:fldChar w:fldCharType="separate"/>
      </w:r>
      <w:r w:rsidR="008553E3">
        <w:t>Graf 2</w:t>
      </w:r>
      <w:r w:rsidR="00123915">
        <w:fldChar w:fldCharType="end"/>
      </w:r>
      <w:r>
        <w:t>, znázorňujícího průběh měsíčních spotřeb energie</w:t>
      </w:r>
      <w:r w:rsidR="001C2EEC">
        <w:t>. Graf</w:t>
      </w:r>
      <w:r>
        <w:t xml:space="preserve"> </w:t>
      </w:r>
      <w:r w:rsidR="001C2EEC">
        <w:t xml:space="preserve">je </w:t>
      </w:r>
      <w:r>
        <w:t xml:space="preserve">členěný do skupin dle </w:t>
      </w:r>
      <w:proofErr w:type="spellStart"/>
      <w:r>
        <w:t>energonositelů</w:t>
      </w:r>
      <w:proofErr w:type="spellEnd"/>
      <w:r>
        <w:t xml:space="preserve">. Zatímco modře vyznačená spotřeba elektrické energie pro provoz budov </w:t>
      </w:r>
      <w:r>
        <w:lastRenderedPageBreak/>
        <w:t xml:space="preserve">očištěná o odběry elektrické energie pro vytápění je v průběhu roku víceméně konstantní, u ostatních </w:t>
      </w:r>
      <w:proofErr w:type="spellStart"/>
      <w:r>
        <w:t>energonositelů</w:t>
      </w:r>
      <w:proofErr w:type="spellEnd"/>
      <w:r>
        <w:t xml:space="preserve"> je patrná silná sezónní závislost.</w:t>
      </w:r>
    </w:p>
    <w:p w:rsidR="00B469E0" w:rsidRPr="002C193A" w:rsidRDefault="00CD0697" w:rsidP="00CD2EEF">
      <w:r>
        <w:rPr>
          <w:noProof/>
          <w:lang w:eastAsia="cs-CZ"/>
        </w:rPr>
        <w:drawing>
          <wp:inline distT="0" distB="0" distL="0" distR="0" wp14:anchorId="7E7C3225">
            <wp:extent cx="5303520" cy="3267710"/>
            <wp:effectExtent l="0" t="0" r="0" b="8890"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326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9E0" w:rsidRPr="00513581" w:rsidRDefault="00B469E0" w:rsidP="00CD2EEF">
      <w:pPr>
        <w:pStyle w:val="Titulek"/>
      </w:pPr>
      <w:bookmarkStart w:id="5" w:name="_Ref291572563"/>
      <w:r>
        <w:t xml:space="preserve">Graf </w:t>
      </w:r>
      <w:r w:rsidR="00123915">
        <w:fldChar w:fldCharType="begin"/>
      </w:r>
      <w:r w:rsidR="00123915">
        <w:instrText xml:space="preserve"> SEQ Graf \* ARABIC </w:instrText>
      </w:r>
      <w:r w:rsidR="00123915">
        <w:fldChar w:fldCharType="separate"/>
      </w:r>
      <w:r w:rsidR="008553E3">
        <w:rPr>
          <w:noProof/>
        </w:rPr>
        <w:t>2</w:t>
      </w:r>
      <w:r w:rsidR="00123915">
        <w:rPr>
          <w:noProof/>
        </w:rPr>
        <w:fldChar w:fldCharType="end"/>
      </w:r>
      <w:bookmarkEnd w:id="5"/>
      <w:r>
        <w:t xml:space="preserve"> - Průběh spotřeby energie v letech 2009 až </w:t>
      </w:r>
      <w:r w:rsidR="00815C58">
        <w:t>2015</w:t>
      </w:r>
      <w:r>
        <w:t xml:space="preserve"> po </w:t>
      </w:r>
      <w:proofErr w:type="spellStart"/>
      <w:r>
        <w:t>energonositelích</w:t>
      </w:r>
      <w:proofErr w:type="spellEnd"/>
    </w:p>
    <w:p w:rsidR="00B469E0" w:rsidRDefault="00B469E0" w:rsidP="003B6598">
      <w:pPr>
        <w:pStyle w:val="Nadpis2"/>
      </w:pPr>
      <w:bookmarkStart w:id="6" w:name="_Toc450121995"/>
      <w:r>
        <w:t>Ceny energie</w:t>
      </w:r>
      <w:bookmarkEnd w:id="6"/>
    </w:p>
    <w:p w:rsidR="0063608F" w:rsidRDefault="0063608F" w:rsidP="005D5C1E">
      <w:pPr>
        <w:jc w:val="both"/>
      </w:pPr>
      <w:r>
        <w:t xml:space="preserve">Trend vývoje ceny elektrické energie v běžných tarifech v roce 2015 navázal na předešlé roky. </w:t>
      </w:r>
      <w:r w:rsidR="00B469E0">
        <w:t>Průměrná jednotková cena meziročně poklesla o</w:t>
      </w:r>
      <w:r>
        <w:t xml:space="preserve"> dalších téměř 8</w:t>
      </w:r>
      <w:r w:rsidR="00CD0697">
        <w:t xml:space="preserve"> </w:t>
      </w:r>
      <w:r w:rsidR="00B469E0">
        <w:t>%</w:t>
      </w:r>
      <w:r>
        <w:t>.</w:t>
      </w:r>
      <w:r w:rsidR="00B469E0">
        <w:t xml:space="preserve"> </w:t>
      </w:r>
      <w:r>
        <w:t>P</w:t>
      </w:r>
      <w:r w:rsidR="00B469E0">
        <w:t xml:space="preserve">růměrná jednotková cena elektrické energie v „topných tarifech“ poklesla </w:t>
      </w:r>
      <w:r>
        <w:t>o 5</w:t>
      </w:r>
      <w:r w:rsidR="00CD0697">
        <w:t xml:space="preserve"> </w:t>
      </w:r>
      <w:r>
        <w:t>%.</w:t>
      </w:r>
    </w:p>
    <w:p w:rsidR="0063608F" w:rsidRDefault="0063608F" w:rsidP="005D5C1E">
      <w:pPr>
        <w:jc w:val="both"/>
      </w:pPr>
      <w:r>
        <w:t xml:space="preserve">Nejvýznamnější změna trendu ceny </w:t>
      </w:r>
      <w:proofErr w:type="spellStart"/>
      <w:r>
        <w:t>energonositele</w:t>
      </w:r>
      <w:proofErr w:type="spellEnd"/>
      <w:r>
        <w:t xml:space="preserve"> je patrná u zemního plynu, kde po dlouhém období růstu jednotkové ceny došlo k jejímu významnému snížení o 8</w:t>
      </w:r>
      <w:r w:rsidR="00CD0697">
        <w:t xml:space="preserve"> </w:t>
      </w:r>
      <w:r>
        <w:t>%</w:t>
      </w:r>
      <w:r w:rsidR="009A40B6">
        <w:t>, čímž se dostala pod úroveň jednotkové ceny v roce 2011.</w:t>
      </w:r>
    </w:p>
    <w:p w:rsidR="009A40B6" w:rsidRDefault="009A40B6" w:rsidP="009A40B6">
      <w:pPr>
        <w:jc w:val="both"/>
      </w:pPr>
      <w:r>
        <w:t>Jednotková cena tepelné energie v roce 2015 potvrdila trend vykazující nejmenší volatilitu, meziročně zde došlo k poklesu o cca 1</w:t>
      </w:r>
      <w:r w:rsidR="00CD0697">
        <w:t xml:space="preserve"> </w:t>
      </w:r>
      <w:r>
        <w:t>%.</w:t>
      </w:r>
    </w:p>
    <w:p w:rsidR="00B469E0" w:rsidRDefault="00B469E0" w:rsidP="009A40B6">
      <w:pPr>
        <w:jc w:val="both"/>
      </w:pPr>
      <w:r>
        <w:t xml:space="preserve">Vývoj průměrných jednotkových cen nakupovaných </w:t>
      </w:r>
      <w:proofErr w:type="spellStart"/>
      <w:r>
        <w:t>energonositelů</w:t>
      </w:r>
      <w:proofErr w:type="spellEnd"/>
      <w:r>
        <w:t xml:space="preserve"> je uveden v tabulce 2. Vzhled</w:t>
      </w:r>
      <w:r w:rsidR="00991D4F">
        <w:t>em k tomu, že od roku 2011 žádná</w:t>
      </w:r>
      <w:r>
        <w:t xml:space="preserve"> ze sledovaných </w:t>
      </w:r>
      <w:r w:rsidR="00991D4F">
        <w:t>budov</w:t>
      </w:r>
      <w:r>
        <w:t xml:space="preserve"> není vytápěn</w:t>
      </w:r>
      <w:r w:rsidR="00991D4F">
        <w:t>a</w:t>
      </w:r>
      <w:r>
        <w:t xml:space="preserve"> topným olejem</w:t>
      </w:r>
      <w:r w:rsidR="009A40B6">
        <w:t>,</w:t>
      </w:r>
      <w:r>
        <w:t xml:space="preserve"> není možné pro roky 2011- </w:t>
      </w:r>
      <w:r w:rsidR="00815C58">
        <w:t>2015</w:t>
      </w:r>
      <w:r>
        <w:t xml:space="preserve"> jednotkovou cenu stanovit.</w:t>
      </w:r>
    </w:p>
    <w:tbl>
      <w:tblPr>
        <w:tblW w:w="0" w:type="auto"/>
        <w:tblInd w:w="461" w:type="dxa"/>
        <w:tblLook w:val="00A0" w:firstRow="1" w:lastRow="0" w:firstColumn="1" w:lastColumn="0" w:noHBand="0" w:noVBand="0"/>
      </w:tblPr>
      <w:tblGrid>
        <w:gridCol w:w="972"/>
        <w:gridCol w:w="683"/>
        <w:gridCol w:w="773"/>
        <w:gridCol w:w="773"/>
        <w:gridCol w:w="661"/>
        <w:gridCol w:w="661"/>
        <w:gridCol w:w="661"/>
        <w:gridCol w:w="661"/>
        <w:gridCol w:w="661"/>
      </w:tblGrid>
      <w:tr w:rsidR="00192F33" w:rsidRPr="009C2C8E" w:rsidTr="00123915">
        <w:trPr>
          <w:trHeight w:val="25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192F33" w:rsidRPr="009C2C8E" w:rsidRDefault="00192F33" w:rsidP="009C2C8E">
            <w:pPr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C8E">
              <w:rPr>
                <w:rFonts w:ascii="Arial" w:hAnsi="Arial" w:cs="Arial"/>
                <w:b/>
                <w:bCs/>
                <w:sz w:val="20"/>
                <w:szCs w:val="20"/>
              </w:rPr>
              <w:t>Médium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192F33" w:rsidRPr="009C2C8E" w:rsidRDefault="00192F33" w:rsidP="009C2C8E">
            <w:pPr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C8E">
              <w:rPr>
                <w:rFonts w:ascii="Arial" w:hAnsi="Arial" w:cs="Arial"/>
                <w:b/>
                <w:bCs/>
                <w:sz w:val="20"/>
                <w:szCs w:val="20"/>
              </w:rPr>
              <w:t>m. j.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</w:tcPr>
          <w:p w:rsidR="00192F33" w:rsidRPr="009C2C8E" w:rsidRDefault="00192F33" w:rsidP="009C2C8E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</w:tcPr>
          <w:p w:rsidR="00192F33" w:rsidRPr="009C2C8E" w:rsidRDefault="00192F33" w:rsidP="009C2C8E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C8E">
              <w:rPr>
                <w:rFonts w:ascii="Arial" w:hAnsi="Arial" w:cs="Arial"/>
                <w:b/>
                <w:bCs/>
                <w:sz w:val="20"/>
                <w:szCs w:val="20"/>
              </w:rPr>
              <w:t>Průměrná cena Kč/m. j.</w:t>
            </w:r>
          </w:p>
        </w:tc>
      </w:tr>
      <w:tr w:rsidR="00192F33" w:rsidRPr="009C2C8E" w:rsidTr="00123915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33" w:rsidRPr="009C2C8E" w:rsidRDefault="00192F33" w:rsidP="009C2C8E">
            <w:pPr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33" w:rsidRPr="009C2C8E" w:rsidRDefault="00192F33" w:rsidP="009C2C8E">
            <w:pPr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192F33" w:rsidRPr="009C2C8E" w:rsidRDefault="00192F33" w:rsidP="009C2C8E">
            <w:pPr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C8E">
              <w:rPr>
                <w:rFonts w:ascii="Arial" w:hAnsi="Arial" w:cs="Arial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192F33" w:rsidRPr="009C2C8E" w:rsidRDefault="00192F33" w:rsidP="009C2C8E">
            <w:pPr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C8E">
              <w:rPr>
                <w:rFonts w:ascii="Arial" w:hAnsi="Arial" w:cs="Arial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192F33" w:rsidRPr="009C2C8E" w:rsidRDefault="00192F33" w:rsidP="009C2C8E">
            <w:pPr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C8E">
              <w:rPr>
                <w:rFonts w:ascii="Arial" w:hAnsi="Arial" w:cs="Arial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192F33" w:rsidRPr="009C2C8E" w:rsidRDefault="00192F33" w:rsidP="009C2C8E">
            <w:pPr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C8E">
              <w:rPr>
                <w:rFonts w:ascii="Arial" w:hAnsi="Arial" w:cs="Arial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192F33" w:rsidRPr="009C2C8E" w:rsidRDefault="00192F33" w:rsidP="00C93352">
            <w:pPr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C8E">
              <w:rPr>
                <w:rFonts w:ascii="Arial" w:hAnsi="Arial" w:cs="Arial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192F33" w:rsidRPr="009C2C8E" w:rsidRDefault="00192F33" w:rsidP="00123915">
            <w:pPr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:rsidR="00192F33" w:rsidRPr="009C2C8E" w:rsidRDefault="00192F33" w:rsidP="009C2C8E">
            <w:pPr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2015</w:t>
            </w:r>
          </w:p>
        </w:tc>
      </w:tr>
      <w:tr w:rsidR="00192F33" w:rsidRPr="009C2C8E" w:rsidTr="0012391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F33" w:rsidRPr="009C2C8E" w:rsidRDefault="00192F33" w:rsidP="009C2C8E">
            <w:pPr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C2C8E">
              <w:rPr>
                <w:rFonts w:ascii="Arial" w:hAnsi="Arial" w:cs="Arial"/>
                <w:sz w:val="20"/>
                <w:szCs w:val="20"/>
              </w:rPr>
              <w:t>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F33" w:rsidRPr="009C2C8E" w:rsidRDefault="00192F33" w:rsidP="009C2C8E">
            <w:pPr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2C8E">
              <w:rPr>
                <w:rFonts w:ascii="Arial" w:hAnsi="Arial" w:cs="Arial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F33" w:rsidRPr="009C2C8E" w:rsidRDefault="00192F33" w:rsidP="009C2C8E">
            <w:pPr>
              <w:spacing w:after="0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2C8E">
              <w:rPr>
                <w:rFonts w:ascii="Arial" w:hAnsi="Arial" w:cs="Arial"/>
                <w:sz w:val="20"/>
                <w:szCs w:val="20"/>
              </w:rPr>
              <w:t>3859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92F33" w:rsidRPr="009C2C8E" w:rsidRDefault="00192F33" w:rsidP="009C2C8E">
            <w:pPr>
              <w:spacing w:after="0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2C8E">
              <w:rPr>
                <w:rFonts w:ascii="Arial" w:hAnsi="Arial" w:cs="Arial"/>
                <w:sz w:val="20"/>
                <w:szCs w:val="20"/>
              </w:rPr>
              <w:t>3623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2F33" w:rsidRPr="009C2C8E" w:rsidRDefault="00192F33" w:rsidP="009C2C8E">
            <w:pPr>
              <w:spacing w:after="0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2C8E">
              <w:rPr>
                <w:rFonts w:ascii="Arial" w:hAnsi="Arial" w:cs="Arial"/>
                <w:sz w:val="20"/>
                <w:szCs w:val="20"/>
              </w:rPr>
              <w:t>3762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2F33" w:rsidRPr="009C2C8E" w:rsidRDefault="00192F33" w:rsidP="009C2C8E">
            <w:pPr>
              <w:spacing w:after="0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2C8E">
              <w:rPr>
                <w:rFonts w:ascii="Arial" w:hAnsi="Arial" w:cs="Arial"/>
                <w:sz w:val="20"/>
                <w:szCs w:val="20"/>
              </w:rPr>
              <w:t>3636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F33" w:rsidRPr="009C2C8E" w:rsidRDefault="00192F33" w:rsidP="00C93352">
            <w:pPr>
              <w:spacing w:after="0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2C8E">
              <w:rPr>
                <w:rFonts w:ascii="Arial" w:hAnsi="Arial" w:cs="Arial"/>
                <w:sz w:val="20"/>
                <w:szCs w:val="20"/>
              </w:rPr>
              <w:t>3881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F33" w:rsidRPr="009C2C8E" w:rsidRDefault="00192F33" w:rsidP="00123915">
            <w:pPr>
              <w:spacing w:after="0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2F33" w:rsidRPr="009C2C8E" w:rsidRDefault="00192F33" w:rsidP="009C2C8E">
            <w:pPr>
              <w:spacing w:after="0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3190</w:t>
            </w:r>
          </w:p>
        </w:tc>
      </w:tr>
      <w:tr w:rsidR="00192F33" w:rsidRPr="009C2C8E" w:rsidTr="0012391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F33" w:rsidRPr="009C2C8E" w:rsidRDefault="00192F33" w:rsidP="009C2C8E">
            <w:pPr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C2C8E">
              <w:rPr>
                <w:rFonts w:ascii="Arial" w:hAnsi="Arial" w:cs="Arial"/>
                <w:sz w:val="20"/>
                <w:szCs w:val="20"/>
              </w:rPr>
              <w:t>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F33" w:rsidRPr="009C2C8E" w:rsidRDefault="00192F33" w:rsidP="009C2C8E">
            <w:pPr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2C8E">
              <w:rPr>
                <w:rFonts w:ascii="Arial" w:hAnsi="Arial" w:cs="Arial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F33" w:rsidRPr="009C2C8E" w:rsidRDefault="00192F33" w:rsidP="009C2C8E">
            <w:pPr>
              <w:spacing w:after="0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2C8E">
              <w:rPr>
                <w:rFonts w:ascii="Arial" w:hAnsi="Arial" w:cs="Arial"/>
                <w:sz w:val="20"/>
                <w:szCs w:val="20"/>
              </w:rPr>
              <w:t>2869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92F33" w:rsidRPr="009C2C8E" w:rsidRDefault="00192F33" w:rsidP="009C2C8E">
            <w:pPr>
              <w:spacing w:after="0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2C8E">
              <w:rPr>
                <w:rFonts w:ascii="Arial" w:hAnsi="Arial" w:cs="Arial"/>
                <w:sz w:val="20"/>
                <w:szCs w:val="20"/>
              </w:rPr>
              <w:t>2521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2F33" w:rsidRPr="009C2C8E" w:rsidRDefault="00192F33" w:rsidP="009C2C8E">
            <w:pPr>
              <w:spacing w:after="0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2C8E">
              <w:rPr>
                <w:rFonts w:ascii="Arial" w:hAnsi="Arial" w:cs="Arial"/>
                <w:sz w:val="20"/>
                <w:szCs w:val="20"/>
              </w:rPr>
              <w:t>2456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2F33" w:rsidRPr="009C2C8E" w:rsidRDefault="00192F33" w:rsidP="009C2C8E">
            <w:pPr>
              <w:spacing w:after="0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2C8E">
              <w:rPr>
                <w:rFonts w:ascii="Arial" w:hAnsi="Arial" w:cs="Arial"/>
                <w:sz w:val="20"/>
                <w:szCs w:val="20"/>
              </w:rPr>
              <w:t>2644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F33" w:rsidRPr="009C2C8E" w:rsidRDefault="00192F33" w:rsidP="00C93352">
            <w:pPr>
              <w:spacing w:after="0"/>
              <w:ind w:left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C2C8E">
              <w:rPr>
                <w:rFonts w:ascii="Arial" w:hAnsi="Arial" w:cs="Arial"/>
                <w:sz w:val="20"/>
                <w:szCs w:val="20"/>
              </w:rPr>
              <w:t>2</w:t>
            </w:r>
            <w:r w:rsidRPr="009C2C8E">
              <w:rPr>
                <w:rFonts w:ascii="Arial" w:hAnsi="Arial" w:cs="Arial"/>
                <w:sz w:val="20"/>
                <w:szCs w:val="20"/>
                <w:lang w:val="en-US"/>
              </w:rPr>
              <w:t>653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F33" w:rsidRPr="009C2C8E" w:rsidRDefault="00192F33" w:rsidP="00123915">
            <w:pPr>
              <w:spacing w:after="0"/>
              <w:ind w:left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2279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2F33" w:rsidRPr="009C2C8E" w:rsidRDefault="00192F33" w:rsidP="009C2C8E">
            <w:pPr>
              <w:spacing w:after="0"/>
              <w:ind w:left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2176</w:t>
            </w:r>
          </w:p>
        </w:tc>
      </w:tr>
      <w:tr w:rsidR="00192F33" w:rsidRPr="009C2C8E" w:rsidTr="0012391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F33" w:rsidRPr="009C2C8E" w:rsidRDefault="00192F33" w:rsidP="009C2C8E">
            <w:pPr>
              <w:spacing w:after="0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C2C8E">
              <w:rPr>
                <w:rFonts w:ascii="Arial" w:hAnsi="Arial" w:cs="Arial"/>
                <w:sz w:val="20"/>
                <w:szCs w:val="20"/>
                <w:lang w:val="en-US"/>
              </w:rPr>
              <w:t>ZP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F33" w:rsidRPr="009C2C8E" w:rsidRDefault="00192F33" w:rsidP="009C2C8E">
            <w:pPr>
              <w:spacing w:after="0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C2C8E">
              <w:rPr>
                <w:rFonts w:ascii="Arial" w:hAnsi="Arial" w:cs="Arial"/>
                <w:sz w:val="20"/>
                <w:szCs w:val="20"/>
                <w:lang w:val="en-US"/>
              </w:rPr>
              <w:t>Nm3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F33" w:rsidRPr="009C2C8E" w:rsidRDefault="00192F33" w:rsidP="009C2C8E">
            <w:pPr>
              <w:spacing w:after="0"/>
              <w:ind w:left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C2C8E">
              <w:rPr>
                <w:rFonts w:ascii="Arial" w:hAnsi="Arial" w:cs="Arial"/>
                <w:sz w:val="20"/>
                <w:szCs w:val="20"/>
                <w:lang w:val="en-US"/>
              </w:rPr>
              <w:t>12,73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92F33" w:rsidRPr="009C2C8E" w:rsidRDefault="00192F33" w:rsidP="009C2C8E">
            <w:pPr>
              <w:spacing w:after="0"/>
              <w:ind w:left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C2C8E">
              <w:rPr>
                <w:rFonts w:ascii="Arial" w:hAnsi="Arial" w:cs="Arial"/>
                <w:sz w:val="20"/>
                <w:szCs w:val="20"/>
                <w:lang w:val="en-US"/>
              </w:rPr>
              <w:t>11,8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2F33" w:rsidRPr="009C2C8E" w:rsidRDefault="00192F33" w:rsidP="009C2C8E">
            <w:pPr>
              <w:spacing w:after="0"/>
              <w:ind w:left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C2C8E">
              <w:rPr>
                <w:rFonts w:ascii="Arial" w:hAnsi="Arial" w:cs="Arial"/>
                <w:sz w:val="20"/>
                <w:szCs w:val="20"/>
                <w:lang w:val="en-US"/>
              </w:rPr>
              <w:t>13,1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2F33" w:rsidRPr="009C2C8E" w:rsidRDefault="00192F33" w:rsidP="009C2C8E">
            <w:pPr>
              <w:spacing w:after="0"/>
              <w:ind w:left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C2C8E">
              <w:rPr>
                <w:rFonts w:ascii="Arial" w:hAnsi="Arial" w:cs="Arial"/>
                <w:sz w:val="20"/>
                <w:szCs w:val="20"/>
                <w:lang w:val="en-US"/>
              </w:rPr>
              <w:t>13,5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F33" w:rsidRPr="009C2C8E" w:rsidRDefault="00192F33" w:rsidP="00C93352">
            <w:pPr>
              <w:spacing w:after="0"/>
              <w:ind w:left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C2C8E">
              <w:rPr>
                <w:rFonts w:ascii="Arial" w:hAnsi="Arial" w:cs="Arial"/>
                <w:sz w:val="20"/>
                <w:szCs w:val="20"/>
                <w:lang w:val="en-US"/>
              </w:rPr>
              <w:t>13,6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F33" w:rsidRPr="009C2C8E" w:rsidRDefault="00192F33" w:rsidP="00123915">
            <w:pPr>
              <w:spacing w:after="0"/>
              <w:ind w:left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2F33" w:rsidRPr="009C2C8E" w:rsidRDefault="00192F33" w:rsidP="009C2C8E">
            <w:pPr>
              <w:spacing w:after="0"/>
              <w:ind w:left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12,9</w:t>
            </w:r>
          </w:p>
        </w:tc>
      </w:tr>
      <w:tr w:rsidR="00192F33" w:rsidRPr="009C2C8E" w:rsidTr="0012391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F33" w:rsidRPr="009C2C8E" w:rsidRDefault="00192F33" w:rsidP="009C2C8E">
            <w:pPr>
              <w:spacing w:after="0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C2C8E">
              <w:rPr>
                <w:rFonts w:ascii="Arial" w:hAnsi="Arial" w:cs="Arial"/>
                <w:sz w:val="20"/>
                <w:szCs w:val="20"/>
                <w:lang w:val="en-US"/>
              </w:rPr>
              <w:t>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F33" w:rsidRPr="009C2C8E" w:rsidRDefault="00192F33" w:rsidP="009C2C8E">
            <w:pPr>
              <w:spacing w:after="0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C2C8E">
              <w:rPr>
                <w:rFonts w:ascii="Arial" w:hAnsi="Arial" w:cs="Arial"/>
                <w:sz w:val="20"/>
                <w:szCs w:val="20"/>
                <w:lang w:val="en-US"/>
              </w:rPr>
              <w:t>GJ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F33" w:rsidRPr="009C2C8E" w:rsidRDefault="00192F33" w:rsidP="009C2C8E">
            <w:pPr>
              <w:spacing w:after="0"/>
              <w:ind w:left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C2C8E">
              <w:rPr>
                <w:rFonts w:ascii="Arial" w:hAnsi="Arial" w:cs="Arial"/>
                <w:sz w:val="20"/>
                <w:szCs w:val="20"/>
                <w:lang w:val="en-US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92F33" w:rsidRPr="009C2C8E" w:rsidRDefault="00192F33" w:rsidP="009C2C8E">
            <w:pPr>
              <w:spacing w:after="0"/>
              <w:ind w:left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C2C8E">
              <w:rPr>
                <w:rFonts w:ascii="Arial" w:hAnsi="Arial" w:cs="Arial"/>
                <w:sz w:val="20"/>
                <w:szCs w:val="20"/>
                <w:lang w:val="en-US"/>
              </w:rPr>
              <w:t>456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2F33" w:rsidRPr="009C2C8E" w:rsidRDefault="00192F33" w:rsidP="009C2C8E">
            <w:pPr>
              <w:spacing w:after="0"/>
              <w:ind w:left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C2C8E">
              <w:rPr>
                <w:rFonts w:ascii="Arial" w:hAnsi="Arial" w:cs="Arial"/>
                <w:sz w:val="20"/>
                <w:szCs w:val="20"/>
                <w:lang w:val="en-US"/>
              </w:rPr>
              <w:t>519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2F33" w:rsidRPr="009C2C8E" w:rsidRDefault="00192F33" w:rsidP="009C2C8E">
            <w:pPr>
              <w:spacing w:after="0"/>
              <w:ind w:left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C2C8E">
              <w:rPr>
                <w:rFonts w:ascii="Arial" w:hAnsi="Arial" w:cs="Arial"/>
                <w:sz w:val="20"/>
                <w:szCs w:val="20"/>
                <w:lang w:val="en-US"/>
              </w:rPr>
              <w:t>541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F33" w:rsidRPr="009C2C8E" w:rsidRDefault="00192F33" w:rsidP="00C93352">
            <w:pPr>
              <w:spacing w:after="0"/>
              <w:ind w:left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C2C8E">
              <w:rPr>
                <w:rFonts w:ascii="Arial" w:hAnsi="Arial" w:cs="Arial"/>
                <w:sz w:val="20"/>
                <w:szCs w:val="20"/>
                <w:lang w:val="en-US"/>
              </w:rPr>
              <w:t>524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F33" w:rsidRPr="009C2C8E" w:rsidRDefault="00192F33" w:rsidP="00123915">
            <w:pPr>
              <w:spacing w:after="0"/>
              <w:ind w:left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2F33" w:rsidRPr="009C2C8E" w:rsidRDefault="00192F33" w:rsidP="009C2C8E">
            <w:pPr>
              <w:spacing w:after="0"/>
              <w:ind w:left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593</w:t>
            </w:r>
          </w:p>
        </w:tc>
      </w:tr>
      <w:tr w:rsidR="00192F33" w:rsidRPr="009C2C8E" w:rsidTr="00123915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92F33" w:rsidRPr="009C2C8E" w:rsidRDefault="00192F33" w:rsidP="009C2C8E">
            <w:pPr>
              <w:spacing w:after="0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C2C8E">
              <w:rPr>
                <w:rFonts w:ascii="Arial" w:hAnsi="Arial" w:cs="Arial"/>
                <w:sz w:val="20"/>
                <w:szCs w:val="20"/>
                <w:lang w:val="en-US"/>
              </w:rPr>
              <w:t>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92F33" w:rsidRPr="009C2C8E" w:rsidRDefault="00192F33" w:rsidP="009C2C8E">
            <w:pPr>
              <w:spacing w:after="0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C2C8E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92F33" w:rsidRPr="009C2C8E" w:rsidRDefault="00192F33" w:rsidP="009C2C8E">
            <w:pPr>
              <w:spacing w:after="0"/>
              <w:ind w:left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C2C8E">
              <w:rPr>
                <w:rFonts w:ascii="Arial" w:hAnsi="Arial" w:cs="Arial"/>
                <w:sz w:val="20"/>
                <w:szCs w:val="20"/>
                <w:lang w:val="en-US"/>
              </w:rPr>
              <w:t>12153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92F33" w:rsidRPr="009C2C8E" w:rsidRDefault="00192F33" w:rsidP="009C2C8E">
            <w:pPr>
              <w:spacing w:after="0"/>
              <w:ind w:left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C2C8E">
              <w:rPr>
                <w:rFonts w:ascii="Arial" w:hAnsi="Arial" w:cs="Arial"/>
                <w:sz w:val="20"/>
                <w:szCs w:val="20"/>
                <w:lang w:val="en-US"/>
              </w:rPr>
              <w:t>11930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192F33" w:rsidRPr="009C2C8E" w:rsidRDefault="00192F33" w:rsidP="009C2C8E">
            <w:pPr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C2C8E">
              <w:rPr>
                <w:rFonts w:ascii="Arial" w:hAnsi="Arial" w:cs="Arial"/>
                <w:sz w:val="20"/>
                <w:szCs w:val="20"/>
                <w:lang w:val="en-US"/>
              </w:rPr>
              <w:t>Není</w:t>
            </w:r>
            <w:proofErr w:type="spellEnd"/>
            <w:r w:rsidRPr="009C2C8E">
              <w:rPr>
                <w:rFonts w:ascii="Arial" w:hAnsi="Arial" w:cs="Arial"/>
                <w:sz w:val="20"/>
                <w:szCs w:val="20"/>
                <w:lang w:val="en-US"/>
              </w:rPr>
              <w:t xml:space="preserve"> k </w:t>
            </w:r>
            <w:proofErr w:type="spellStart"/>
            <w:r w:rsidRPr="009C2C8E">
              <w:rPr>
                <w:rFonts w:ascii="Arial" w:hAnsi="Arial" w:cs="Arial"/>
                <w:sz w:val="20"/>
                <w:szCs w:val="20"/>
                <w:lang w:val="en-US"/>
              </w:rPr>
              <w:t>dispozici</w:t>
            </w:r>
            <w:proofErr w:type="spellEnd"/>
          </w:p>
        </w:tc>
      </w:tr>
    </w:tbl>
    <w:p w:rsidR="00B469E0" w:rsidRPr="005C1FEA" w:rsidRDefault="00B469E0" w:rsidP="003B6598"/>
    <w:p w:rsidR="00B469E0" w:rsidRDefault="00B469E0" w:rsidP="003B6598">
      <w:pPr>
        <w:pStyle w:val="Titulek"/>
      </w:pPr>
      <w:bookmarkStart w:id="7" w:name="_Ref291574754"/>
      <w:r>
        <w:t xml:space="preserve">Tabulka </w:t>
      </w:r>
      <w:r w:rsidR="00123915">
        <w:fldChar w:fldCharType="begin"/>
      </w:r>
      <w:r w:rsidR="00123915">
        <w:instrText xml:space="preserve"> SEQ Tabulka \* ARABIC </w:instrText>
      </w:r>
      <w:r w:rsidR="00123915">
        <w:fldChar w:fldCharType="separate"/>
      </w:r>
      <w:r w:rsidR="008553E3">
        <w:rPr>
          <w:noProof/>
        </w:rPr>
        <w:t>2</w:t>
      </w:r>
      <w:r w:rsidR="00123915">
        <w:rPr>
          <w:noProof/>
        </w:rPr>
        <w:fldChar w:fldCharType="end"/>
      </w:r>
      <w:bookmarkEnd w:id="7"/>
      <w:r>
        <w:t xml:space="preserve"> – Meziroční srovnání jednotkových cen sledovaných energetických vstupů</w:t>
      </w:r>
    </w:p>
    <w:p w:rsidR="00B469E0" w:rsidRDefault="00B469E0" w:rsidP="00CD2EEF">
      <w:pPr>
        <w:pStyle w:val="Nadpis2"/>
        <w:rPr>
          <w:rFonts w:cs="Times New Roman"/>
        </w:rPr>
      </w:pPr>
      <w:r w:rsidRPr="00C01596">
        <w:lastRenderedPageBreak/>
        <w:t xml:space="preserve"> </w:t>
      </w:r>
      <w:bookmarkStart w:id="8" w:name="_Toc450121996"/>
      <w:r w:rsidRPr="00C01596">
        <w:t>Náklady</w:t>
      </w:r>
      <w:bookmarkEnd w:id="8"/>
    </w:p>
    <w:p w:rsidR="00B469E0" w:rsidRDefault="00B469E0" w:rsidP="005D5C1E">
      <w:pPr>
        <w:jc w:val="both"/>
      </w:pPr>
      <w:r>
        <w:t xml:space="preserve">Celkové roční náklady na energii u sledovaných </w:t>
      </w:r>
      <w:r w:rsidR="00991D4F">
        <w:t>budov</w:t>
      </w:r>
      <w:r>
        <w:t xml:space="preserve"> v roce </w:t>
      </w:r>
      <w:r w:rsidR="00815C58">
        <w:t>2015</w:t>
      </w:r>
      <w:r>
        <w:t xml:space="preserve"> činily </w:t>
      </w:r>
      <w:r w:rsidR="00F867C7">
        <w:t>236,5</w:t>
      </w:r>
      <w:r>
        <w:t xml:space="preserve"> mil. Kč. Náklady na zásobování monitorovaných </w:t>
      </w:r>
      <w:r w:rsidR="00991D4F">
        <w:t>budov</w:t>
      </w:r>
      <w:r>
        <w:t xml:space="preserve"> energií tak </w:t>
      </w:r>
      <w:r w:rsidR="00F867C7">
        <w:t xml:space="preserve">meziročně </w:t>
      </w:r>
      <w:r>
        <w:t xml:space="preserve">poklesly </w:t>
      </w:r>
      <w:r w:rsidR="00F867C7">
        <w:t>o 5</w:t>
      </w:r>
      <w:r w:rsidR="00CD0697">
        <w:t xml:space="preserve"> </w:t>
      </w:r>
      <w:r>
        <w:t xml:space="preserve">%. Náklady jsou sledovány na základě fakturace od dodavatelů energie. Veškeré finanční údaje jsou vzhledem k povaze monitorovaných institucí počítány včetně daně z přidané hodnoty. </w:t>
      </w:r>
      <w:r w:rsidR="00123915">
        <w:fldChar w:fldCharType="begin"/>
      </w:r>
      <w:r w:rsidR="00123915">
        <w:instrText xml:space="preserve"> REF _Ref291572590 \h  \* MERGEFORMAT </w:instrText>
      </w:r>
      <w:r w:rsidR="00123915">
        <w:fldChar w:fldCharType="separate"/>
      </w:r>
      <w:r w:rsidR="008553E3">
        <w:t>Graf 3</w:t>
      </w:r>
      <w:r w:rsidR="00123915">
        <w:fldChar w:fldCharType="end"/>
      </w:r>
      <w:r>
        <w:t xml:space="preserve"> znázorňuje podíl jednotlivých resortů na spotřebě celého souboru monitorovaných budov.</w:t>
      </w:r>
    </w:p>
    <w:p w:rsidR="00B469E0" w:rsidRPr="00C81D91" w:rsidRDefault="00CD0697" w:rsidP="00CD2EEF">
      <w:r>
        <w:rPr>
          <w:noProof/>
          <w:lang w:eastAsia="cs-CZ"/>
        </w:rPr>
        <w:drawing>
          <wp:inline distT="0" distB="0" distL="0" distR="0" wp14:anchorId="312C22DA">
            <wp:extent cx="5303520" cy="327596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327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9E0" w:rsidRDefault="00B469E0" w:rsidP="00CD2EEF">
      <w:pPr>
        <w:pStyle w:val="Titulek"/>
      </w:pPr>
      <w:bookmarkStart w:id="9" w:name="_Ref291572590"/>
      <w:r>
        <w:t xml:space="preserve">Graf </w:t>
      </w:r>
      <w:r w:rsidR="00123915">
        <w:fldChar w:fldCharType="begin"/>
      </w:r>
      <w:r w:rsidR="00123915">
        <w:instrText xml:space="preserve"> SEQ Graf \* ARABIC </w:instrText>
      </w:r>
      <w:r w:rsidR="00123915">
        <w:fldChar w:fldCharType="separate"/>
      </w:r>
      <w:r w:rsidR="008553E3">
        <w:rPr>
          <w:noProof/>
        </w:rPr>
        <w:t>3</w:t>
      </w:r>
      <w:r w:rsidR="00123915">
        <w:rPr>
          <w:noProof/>
        </w:rPr>
        <w:fldChar w:fldCharType="end"/>
      </w:r>
      <w:bookmarkEnd w:id="9"/>
      <w:r>
        <w:t xml:space="preserve"> - Podíl resortů na celkové spotřebě energie sledovaných </w:t>
      </w:r>
      <w:r w:rsidR="00991D4F">
        <w:t>budov</w:t>
      </w:r>
      <w:r>
        <w:t xml:space="preserve"> v roce </w:t>
      </w:r>
      <w:r w:rsidR="00815C58">
        <w:t>2015</w:t>
      </w:r>
    </w:p>
    <w:p w:rsidR="00B469E0" w:rsidRDefault="00B469E0" w:rsidP="00CD2EEF">
      <w:pPr>
        <w:pStyle w:val="Nadpis2"/>
        <w:rPr>
          <w:rFonts w:cs="Times New Roman"/>
        </w:rPr>
      </w:pPr>
      <w:r w:rsidRPr="00C01596">
        <w:t xml:space="preserve">  </w:t>
      </w:r>
      <w:bookmarkStart w:id="10" w:name="_Toc450121997"/>
      <w:r w:rsidRPr="00C01596">
        <w:t>Palivová základna</w:t>
      </w:r>
      <w:bookmarkEnd w:id="10"/>
    </w:p>
    <w:p w:rsidR="00B469E0" w:rsidRDefault="00B469E0" w:rsidP="00DF0B5E">
      <w:pPr>
        <w:jc w:val="both"/>
      </w:pPr>
      <w:r>
        <w:t xml:space="preserve">Jak již bylo konstatováno, nedošlo v roce </w:t>
      </w:r>
      <w:r w:rsidR="00815C58">
        <w:t>2015</w:t>
      </w:r>
      <w:r>
        <w:t xml:space="preserve"> k zásadní změně zásobování sledovaných </w:t>
      </w:r>
      <w:r w:rsidR="00477173">
        <w:t>budov</w:t>
      </w:r>
      <w:r>
        <w:t xml:space="preserve"> </w:t>
      </w:r>
      <w:proofErr w:type="spellStart"/>
      <w:r>
        <w:t>energonositeli</w:t>
      </w:r>
      <w:proofErr w:type="spellEnd"/>
      <w:r>
        <w:t xml:space="preserve">. Podíl jednotlivých </w:t>
      </w:r>
      <w:proofErr w:type="spellStart"/>
      <w:r>
        <w:t>energonositelů</w:t>
      </w:r>
      <w:proofErr w:type="spellEnd"/>
      <w:r>
        <w:t xml:space="preserve"> na celkovém energetickém vstupu znázorňuje </w:t>
      </w:r>
      <w:r w:rsidR="00123915">
        <w:fldChar w:fldCharType="begin"/>
      </w:r>
      <w:r w:rsidR="00123915">
        <w:instrText xml:space="preserve"> REF _Ref291574488 \h  \* MERGEFORMAT </w:instrText>
      </w:r>
      <w:r w:rsidR="00123915">
        <w:fldChar w:fldCharType="separate"/>
      </w:r>
      <w:r w:rsidR="008553E3">
        <w:t>Graf 4</w:t>
      </w:r>
      <w:r w:rsidR="00123915">
        <w:fldChar w:fldCharType="end"/>
      </w:r>
      <w:r>
        <w:t xml:space="preserve">. Spotřeba elektrické energie pro provozní účely je přitom v ojedinělých případech zatížena krytím části spotřeby energie </w:t>
      </w:r>
      <w:r w:rsidR="006319DD">
        <w:t>budovy</w:t>
      </w:r>
      <w:r>
        <w:t xml:space="preserve"> pro vytápění, jelikož jsou sledovány pouze fakturační vstupy energie a několik sledovaných budov nemá fakturačně oddělenou spotřebu elektrické energie pro vytápění. Jedná se však pouze o výjimky.</w:t>
      </w:r>
      <w:r w:rsidRPr="00DF0B5E">
        <w:t xml:space="preserve"> </w:t>
      </w:r>
    </w:p>
    <w:p w:rsidR="00B469E0" w:rsidRPr="00C81D91" w:rsidRDefault="00CD0697" w:rsidP="00DF0B5E">
      <w:pPr>
        <w:jc w:val="both"/>
      </w:pPr>
      <w:r>
        <w:rPr>
          <w:noProof/>
          <w:lang w:eastAsia="cs-CZ"/>
        </w:rPr>
        <w:lastRenderedPageBreak/>
        <w:drawing>
          <wp:inline distT="0" distB="0" distL="0" distR="0" wp14:anchorId="5BFE9106">
            <wp:extent cx="5303520" cy="327596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327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9E0" w:rsidRPr="00E436AF" w:rsidRDefault="00B469E0" w:rsidP="00CD2EEF"/>
    <w:p w:rsidR="00B469E0" w:rsidRDefault="00B469E0" w:rsidP="00CD2EEF">
      <w:pPr>
        <w:pStyle w:val="Titulek"/>
      </w:pPr>
      <w:bookmarkStart w:id="11" w:name="_Ref291574488"/>
      <w:r>
        <w:t xml:space="preserve">Graf </w:t>
      </w:r>
      <w:r w:rsidR="00123915">
        <w:fldChar w:fldCharType="begin"/>
      </w:r>
      <w:r w:rsidR="00123915">
        <w:instrText xml:space="preserve"> SEQ Graf \* ARABIC </w:instrText>
      </w:r>
      <w:r w:rsidR="00123915">
        <w:fldChar w:fldCharType="separate"/>
      </w:r>
      <w:r w:rsidR="008553E3">
        <w:rPr>
          <w:noProof/>
        </w:rPr>
        <w:t>4</w:t>
      </w:r>
      <w:r w:rsidR="00123915">
        <w:rPr>
          <w:noProof/>
        </w:rPr>
        <w:fldChar w:fldCharType="end"/>
      </w:r>
      <w:bookmarkEnd w:id="11"/>
      <w:r>
        <w:t xml:space="preserve"> – Podíl sledovaných </w:t>
      </w:r>
      <w:proofErr w:type="spellStart"/>
      <w:r>
        <w:t>energonositelů</w:t>
      </w:r>
      <w:proofErr w:type="spellEnd"/>
      <w:r>
        <w:t xml:space="preserve"> na celkové spotřebě energie v roce 2013</w:t>
      </w:r>
    </w:p>
    <w:p w:rsidR="00B469E0" w:rsidRDefault="00B469E0" w:rsidP="00CD2EEF">
      <w:pPr>
        <w:pStyle w:val="Nadpis2"/>
      </w:pPr>
      <w:r>
        <w:t xml:space="preserve">  </w:t>
      </w:r>
      <w:bookmarkStart w:id="12" w:name="_Toc450121998"/>
      <w:r>
        <w:t>Měrné ukazatele</w:t>
      </w:r>
      <w:bookmarkEnd w:id="12"/>
    </w:p>
    <w:p w:rsidR="00B469E0" w:rsidRDefault="006319DD" w:rsidP="005D5C1E">
      <w:pPr>
        <w:jc w:val="both"/>
      </w:pPr>
      <w:r>
        <w:t>Budovy</w:t>
      </w:r>
      <w:r w:rsidR="00B469E0">
        <w:t xml:space="preserve">, u kterých lze samostatně stanovit množství energie pro vytápění je možné porovnat z hlediska měrné spotřeby na vytápění vztažené na jednotku vytápěné podlahové plochy (viz </w:t>
      </w:r>
      <w:r w:rsidR="00123915">
        <w:fldChar w:fldCharType="begin"/>
      </w:r>
      <w:r w:rsidR="00123915">
        <w:instrText xml:space="preserve"> REF _Ref291576974 \h  \* MERGEFORMAT </w:instrText>
      </w:r>
      <w:r w:rsidR="00123915">
        <w:fldChar w:fldCharType="separate"/>
      </w:r>
      <w:r w:rsidR="008553E3">
        <w:t>Graf 5</w:t>
      </w:r>
      <w:r w:rsidR="00123915">
        <w:fldChar w:fldCharType="end"/>
      </w:r>
      <w:r w:rsidR="00B469E0">
        <w:t>).</w:t>
      </w:r>
    </w:p>
    <w:p w:rsidR="00B469E0" w:rsidRPr="00F62C24" w:rsidRDefault="00CD0697" w:rsidP="00AC77E4">
      <w:pPr>
        <w:ind w:left="0"/>
      </w:pPr>
      <w:r>
        <w:rPr>
          <w:noProof/>
          <w:lang w:eastAsia="cs-CZ"/>
        </w:rPr>
        <w:drawing>
          <wp:inline distT="0" distB="0" distL="0" distR="0" wp14:anchorId="23FF4FB1">
            <wp:extent cx="5303520" cy="327596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327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9E0" w:rsidRDefault="00B469E0" w:rsidP="00DC4953">
      <w:pPr>
        <w:pStyle w:val="Titulek"/>
      </w:pPr>
      <w:bookmarkStart w:id="13" w:name="_Ref291576974"/>
      <w:r>
        <w:t xml:space="preserve">Graf </w:t>
      </w:r>
      <w:r w:rsidR="00123915">
        <w:fldChar w:fldCharType="begin"/>
      </w:r>
      <w:r w:rsidR="00123915">
        <w:instrText xml:space="preserve"> SEQ Graf \* ARABIC </w:instrText>
      </w:r>
      <w:r w:rsidR="00123915">
        <w:fldChar w:fldCharType="separate"/>
      </w:r>
      <w:r w:rsidR="008553E3">
        <w:rPr>
          <w:noProof/>
        </w:rPr>
        <w:t>5</w:t>
      </w:r>
      <w:r w:rsidR="00123915">
        <w:rPr>
          <w:noProof/>
        </w:rPr>
        <w:fldChar w:fldCharType="end"/>
      </w:r>
      <w:bookmarkEnd w:id="13"/>
      <w:r>
        <w:t xml:space="preserve"> – Porovnání měrné spotřeby energie</w:t>
      </w:r>
      <w:r w:rsidR="00C02BC3">
        <w:t xml:space="preserve"> </w:t>
      </w:r>
      <w:r w:rsidR="00991D4F">
        <w:t>budov</w:t>
      </w:r>
      <w:r w:rsidR="00C02BC3">
        <w:t xml:space="preserve"> na vytápění v roce 2015</w:t>
      </w:r>
    </w:p>
    <w:p w:rsidR="00B469E0" w:rsidRDefault="00B469E0" w:rsidP="005D5C1E">
      <w:pPr>
        <w:jc w:val="both"/>
      </w:pPr>
      <w:r>
        <w:lastRenderedPageBreak/>
        <w:t xml:space="preserve">Porovnání měrných spotřeb umožňuje jednoduše zhodnotit energetickou náročnost </w:t>
      </w:r>
      <w:r w:rsidR="006319DD">
        <w:t>budov</w:t>
      </w:r>
      <w:r>
        <w:t xml:space="preserve"> a identifikovat tak případy nehospodárného nakládání energií a vyhledávat potenciální energeticky úsporné projekty. </w:t>
      </w:r>
      <w:r w:rsidR="006319DD">
        <w:t>Budovám</w:t>
      </w:r>
      <w:r w:rsidR="00CD0697">
        <w:t>, které</w:t>
      </w:r>
      <w:r>
        <w:t xml:space="preserve"> vykazují výsledky vymykající se normálu</w:t>
      </w:r>
      <w:r w:rsidR="00CD0697">
        <w:t>,</w:t>
      </w:r>
      <w:r>
        <w:t xml:space="preserve"> je věnována zvláštní pozornost.</w:t>
      </w:r>
    </w:p>
    <w:p w:rsidR="00B469E0" w:rsidRDefault="00B469E0" w:rsidP="00832BB7">
      <w:pPr>
        <w:pStyle w:val="Nadpis1"/>
        <w:pageBreakBefore w:val="0"/>
        <w:rPr>
          <w:rFonts w:cs="Times New Roman"/>
        </w:rPr>
      </w:pPr>
      <w:bookmarkStart w:id="14" w:name="_Toc450121999"/>
      <w:r w:rsidRPr="00C01596">
        <w:t>Souhrn dosažených výsledků</w:t>
      </w:r>
      <w:bookmarkEnd w:id="14"/>
    </w:p>
    <w:p w:rsidR="00B469E0" w:rsidRDefault="00B469E0" w:rsidP="005D5C1E">
      <w:pPr>
        <w:jc w:val="both"/>
      </w:pPr>
      <w:r>
        <w:t xml:space="preserve">V roce </w:t>
      </w:r>
      <w:r w:rsidR="00815C58">
        <w:t>2015</w:t>
      </w:r>
      <w:r>
        <w:t xml:space="preserve"> byl systém monitorování spotřeby energie vybraných vládních </w:t>
      </w:r>
      <w:r w:rsidR="006319DD">
        <w:t>budov</w:t>
      </w:r>
      <w:r>
        <w:t xml:space="preserve"> provozován v souladu s plánem. Údaje o spotřebě en</w:t>
      </w:r>
      <w:r w:rsidR="00CD0697">
        <w:t>ergie jsou pravidelně sbírány a </w:t>
      </w:r>
      <w:r>
        <w:t>analyzovány, případy výskytu nestandardních odchylek jsou řešeny s energetiky dotčených resortů. Resorty aktivně pracují na zlepšování v oblasti hospodaření s energií.</w:t>
      </w:r>
    </w:p>
    <w:p w:rsidR="00B469E0" w:rsidRPr="00576C8A" w:rsidRDefault="00B469E0" w:rsidP="00FB6028">
      <w:pPr>
        <w:pStyle w:val="Nadpis2"/>
      </w:pPr>
      <w:bookmarkStart w:id="15" w:name="_Toc450122000"/>
      <w:r w:rsidRPr="00576C8A">
        <w:t>Úsporná opatření</w:t>
      </w:r>
      <w:bookmarkEnd w:id="15"/>
    </w:p>
    <w:p w:rsidR="008C607E" w:rsidRDefault="006319DD" w:rsidP="005D5C1E">
      <w:pPr>
        <w:jc w:val="both"/>
      </w:pPr>
      <w:r>
        <w:t xml:space="preserve">V roce 2015 nebylo na sledovaných budovách realizováno žádné opatření, které by mohlo zásadním způsobem ovlivnit energetickou náročnost. Zřejmě největší vliv může mít změna ve způsobu respektive míře využívání </w:t>
      </w:r>
      <w:r w:rsidR="00991D4F">
        <w:t>budov</w:t>
      </w:r>
      <w:r>
        <w:t>. Tyto změny ale nejsou v rámci monitoringu pravidelně sledovány. Poslední aktualizace informací tohoto druhu proběhla v</w:t>
      </w:r>
      <w:r w:rsidR="00236CA8">
        <w:t> </w:t>
      </w:r>
      <w:r>
        <w:t>souvislosti</w:t>
      </w:r>
      <w:r w:rsidR="00236CA8">
        <w:t xml:space="preserve"> s přípravami </w:t>
      </w:r>
      <w:r w:rsidR="008C607E">
        <w:t>na implementaci článku 5 Směrnice o energetické účinnosti 2012/27/EU.</w:t>
      </w:r>
      <w:r w:rsidR="00B469E0">
        <w:t xml:space="preserve"> </w:t>
      </w:r>
      <w:r w:rsidR="008C607E">
        <w:t xml:space="preserve">Obtížnou situaci resortů způsobenou nedostatkem prostředků pro realizaci energeticky úsporných projektů řeší v návaznosti </w:t>
      </w:r>
      <w:r w:rsidR="00C909FF">
        <w:t>na zmiňované vládní usnesení č. </w:t>
      </w:r>
      <w:r w:rsidR="008C607E">
        <w:t>1035/2015 pověřené resorty.</w:t>
      </w:r>
    </w:p>
    <w:p w:rsidR="00B469E0" w:rsidRDefault="00B469E0" w:rsidP="005D5C1E">
      <w:pPr>
        <w:jc w:val="both"/>
      </w:pPr>
      <w:r>
        <w:t>Na základě cílů nastavených na základě údajů roku 2009 je možné sledovat souhrnně přínosy těchto úsporných opatření na trendu kumulovaných úspor energie</w:t>
      </w:r>
      <w:r>
        <w:rPr>
          <w:rStyle w:val="Znakapoznpodarou"/>
        </w:rPr>
        <w:footnoteReference w:id="4"/>
      </w:r>
      <w:r>
        <w:t xml:space="preserve"> (viz </w:t>
      </w:r>
      <w:r w:rsidR="00123915">
        <w:fldChar w:fldCharType="begin"/>
      </w:r>
      <w:r w:rsidR="00123915">
        <w:instrText xml:space="preserve"> REF _Ref291569630 \h  \* MERGEFORMAT </w:instrText>
      </w:r>
      <w:r w:rsidR="00123915">
        <w:fldChar w:fldCharType="separate"/>
      </w:r>
      <w:r w:rsidR="008553E3">
        <w:t>Graf 6</w:t>
      </w:r>
      <w:r w:rsidR="00123915">
        <w:fldChar w:fldCharType="end"/>
      </w:r>
      <w:r>
        <w:t>).</w:t>
      </w:r>
    </w:p>
    <w:p w:rsidR="00B469E0" w:rsidRDefault="00B469E0" w:rsidP="005D5C1E">
      <w:pPr>
        <w:jc w:val="both"/>
      </w:pPr>
      <w:r w:rsidRPr="002F0292">
        <w:rPr>
          <w:b/>
          <w:bCs/>
        </w:rPr>
        <w:t xml:space="preserve">Z porovnání cílových a reálně dosažených spotřeb energie jednotlivých </w:t>
      </w:r>
      <w:r w:rsidR="00991D4F">
        <w:rPr>
          <w:b/>
          <w:bCs/>
        </w:rPr>
        <w:t>budov</w:t>
      </w:r>
      <w:r>
        <w:rPr>
          <w:b/>
          <w:bCs/>
        </w:rPr>
        <w:t xml:space="preserve"> vyplývá, že se v roce </w:t>
      </w:r>
      <w:r w:rsidR="00815C58">
        <w:rPr>
          <w:b/>
          <w:bCs/>
        </w:rPr>
        <w:t>2015</w:t>
      </w:r>
      <w:r w:rsidRPr="002F0292">
        <w:rPr>
          <w:b/>
          <w:bCs/>
        </w:rPr>
        <w:t xml:space="preserve"> podařilo resortům </w:t>
      </w:r>
      <w:r w:rsidR="00CD0697">
        <w:rPr>
          <w:b/>
          <w:bCs/>
        </w:rPr>
        <w:t>u</w:t>
      </w:r>
      <w:r w:rsidRPr="002F0292">
        <w:rPr>
          <w:b/>
          <w:bCs/>
        </w:rPr>
        <w:t xml:space="preserve"> souboru sledovaných </w:t>
      </w:r>
      <w:r w:rsidR="00991D4F">
        <w:rPr>
          <w:b/>
          <w:bCs/>
        </w:rPr>
        <w:t>budov</w:t>
      </w:r>
      <w:r w:rsidRPr="002F0292">
        <w:rPr>
          <w:b/>
          <w:bCs/>
        </w:rPr>
        <w:t xml:space="preserve"> dosáhnout úspory ve </w:t>
      </w:r>
      <w:r w:rsidR="008C607E">
        <w:rPr>
          <w:b/>
          <w:bCs/>
        </w:rPr>
        <w:t>výši 20</w:t>
      </w:r>
      <w:r w:rsidRPr="002F0292">
        <w:rPr>
          <w:b/>
          <w:bCs/>
        </w:rPr>
        <w:t xml:space="preserve"> mil. Kč v aktuálních cenách energie.</w:t>
      </w:r>
    </w:p>
    <w:p w:rsidR="00B469E0" w:rsidRPr="00F62C24" w:rsidRDefault="00CD0697" w:rsidP="00FB6028">
      <w:pPr>
        <w:pStyle w:val="MainText"/>
        <w:rPr>
          <w:rFonts w:cs="Times New Roman"/>
        </w:rPr>
      </w:pPr>
      <w:r>
        <w:rPr>
          <w:rFonts w:cs="Times New Roman"/>
          <w:noProof/>
          <w:lang w:eastAsia="cs-CZ"/>
        </w:rPr>
        <w:lastRenderedPageBreak/>
        <w:drawing>
          <wp:inline distT="0" distB="0" distL="0" distR="0" wp14:anchorId="3945D929">
            <wp:extent cx="5303520" cy="327596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327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9E0" w:rsidRDefault="00B469E0" w:rsidP="00455864">
      <w:pPr>
        <w:pStyle w:val="Titulek"/>
      </w:pPr>
      <w:bookmarkStart w:id="16" w:name="_Ref291569630"/>
      <w:r>
        <w:t xml:space="preserve">Graf </w:t>
      </w:r>
      <w:r w:rsidR="00123915">
        <w:fldChar w:fldCharType="begin"/>
      </w:r>
      <w:r w:rsidR="00123915">
        <w:instrText xml:space="preserve"> SEQ Graf \* ARABIC </w:instrText>
      </w:r>
      <w:r w:rsidR="00123915">
        <w:fldChar w:fldCharType="separate"/>
      </w:r>
      <w:r w:rsidR="008553E3">
        <w:rPr>
          <w:noProof/>
        </w:rPr>
        <w:t>6</w:t>
      </w:r>
      <w:r w:rsidR="00123915">
        <w:rPr>
          <w:noProof/>
        </w:rPr>
        <w:fldChar w:fldCharType="end"/>
      </w:r>
      <w:bookmarkEnd w:id="16"/>
      <w:r>
        <w:t xml:space="preserve"> – Trend kumulované úspory na úrovni celého systému</w:t>
      </w:r>
    </w:p>
    <w:p w:rsidR="00B469E0" w:rsidRDefault="00B469E0" w:rsidP="00362BB3">
      <w:pPr>
        <w:jc w:val="both"/>
        <w:rPr>
          <w:b/>
          <w:bCs/>
        </w:rPr>
      </w:pPr>
    </w:p>
    <w:p w:rsidR="00B469E0" w:rsidRPr="00362BB3" w:rsidRDefault="00B469E0" w:rsidP="00362BB3">
      <w:pPr>
        <w:jc w:val="both"/>
        <w:rPr>
          <w:b/>
          <w:bCs/>
        </w:rPr>
      </w:pPr>
      <w:r w:rsidRPr="00362BB3">
        <w:rPr>
          <w:b/>
          <w:bCs/>
        </w:rPr>
        <w:t>Od roku 2010 se podařilo resortům v porovnání s rokem 2009 realizovat úsporná opatření</w:t>
      </w:r>
      <w:r w:rsidR="00CD0697">
        <w:rPr>
          <w:b/>
          <w:bCs/>
        </w:rPr>
        <w:t>,</w:t>
      </w:r>
      <w:r w:rsidRPr="00362BB3">
        <w:rPr>
          <w:b/>
          <w:bCs/>
        </w:rPr>
        <w:t xml:space="preserve"> jejichž prostý kumulov</w:t>
      </w:r>
      <w:r w:rsidR="008C607E">
        <w:rPr>
          <w:b/>
          <w:bCs/>
        </w:rPr>
        <w:t>aný přínos dosahuje hodnoty téměř</w:t>
      </w:r>
      <w:r w:rsidRPr="00362BB3">
        <w:rPr>
          <w:b/>
          <w:bCs/>
        </w:rPr>
        <w:t xml:space="preserve"> </w:t>
      </w:r>
      <w:r w:rsidR="008C607E">
        <w:rPr>
          <w:b/>
          <w:bCs/>
        </w:rPr>
        <w:t>70</w:t>
      </w:r>
      <w:r w:rsidRPr="00362BB3">
        <w:rPr>
          <w:b/>
          <w:bCs/>
        </w:rPr>
        <w:t xml:space="preserve"> mil. Kč.</w:t>
      </w:r>
    </w:p>
    <w:p w:rsidR="00B469E0" w:rsidRDefault="00B469E0" w:rsidP="00362BB3">
      <w:pPr>
        <w:jc w:val="both"/>
      </w:pPr>
      <w:r>
        <w:t>Tato data jsou výsledkem kumulace odchylek skutečně dosahov</w:t>
      </w:r>
      <w:r w:rsidR="008C607E">
        <w:t>ané spotřeby energie v jednotlivých letech</w:t>
      </w:r>
      <w:r>
        <w:t xml:space="preserve"> od </w:t>
      </w:r>
      <w:r w:rsidR="008C607E">
        <w:t xml:space="preserve">cílů nastavených na základě </w:t>
      </w:r>
      <w:r w:rsidR="00672A5A">
        <w:t>reálných výsledků roku 2009</w:t>
      </w:r>
      <w:r>
        <w:t xml:space="preserve">. Jsou rozlišitelné na úrovni sledovaných </w:t>
      </w:r>
      <w:r w:rsidR="00991D4F">
        <w:t>budov</w:t>
      </w:r>
      <w:r>
        <w:t xml:space="preserve"> a energetických vstupů. Detailní výsledky této analýzy jsou součástí pravidelných reportů dostupných členů</w:t>
      </w:r>
      <w:r w:rsidR="00C02BC3">
        <w:t>m meziresortní pracovní skupiny prostřednictvím webové aplikace.</w:t>
      </w:r>
    </w:p>
    <w:p w:rsidR="00B469E0" w:rsidRDefault="00B469E0" w:rsidP="00362BB3">
      <w:pPr>
        <w:jc w:val="both"/>
      </w:pPr>
      <w:r>
        <w:t>J</w:t>
      </w:r>
      <w:r w:rsidRPr="00576C8A">
        <w:t xml:space="preserve">e </w:t>
      </w:r>
      <w:r>
        <w:t xml:space="preserve">proto </w:t>
      </w:r>
      <w:r w:rsidRPr="00576C8A">
        <w:t>také možné porovnat přínosy jednotlivých resortů k celkově dosahovaným úsporám.</w:t>
      </w:r>
      <w:r>
        <w:t xml:space="preserve"> Výsledky porovnání znázorňuje </w:t>
      </w:r>
      <w:r w:rsidR="00123915">
        <w:fldChar w:fldCharType="begin"/>
      </w:r>
      <w:r w:rsidR="00123915">
        <w:instrText xml:space="preserve"> REF _Ref291569750 \h  \* MERGEFORMAT </w:instrText>
      </w:r>
      <w:r w:rsidR="00123915">
        <w:fldChar w:fldCharType="separate"/>
      </w:r>
      <w:r w:rsidR="008553E3">
        <w:t>Graf 7</w:t>
      </w:r>
      <w:r w:rsidR="00123915">
        <w:fldChar w:fldCharType="end"/>
      </w:r>
      <w:r>
        <w:t>.</w:t>
      </w:r>
    </w:p>
    <w:p w:rsidR="00B469E0" w:rsidRDefault="00B469E0" w:rsidP="005D5C1E">
      <w:pPr>
        <w:jc w:val="both"/>
      </w:pPr>
    </w:p>
    <w:p w:rsidR="00577B23" w:rsidRPr="00F62C24" w:rsidRDefault="00CD0697" w:rsidP="005D5C1E">
      <w:pPr>
        <w:jc w:val="both"/>
      </w:pPr>
      <w:r>
        <w:rPr>
          <w:noProof/>
          <w:lang w:eastAsia="cs-CZ"/>
        </w:rPr>
        <w:lastRenderedPageBreak/>
        <w:drawing>
          <wp:inline distT="0" distB="0" distL="0" distR="0" wp14:anchorId="1BB38E5E">
            <wp:extent cx="5303520" cy="327596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327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9E0" w:rsidRDefault="00B469E0" w:rsidP="00455864">
      <w:pPr>
        <w:pStyle w:val="Titulek"/>
      </w:pPr>
      <w:bookmarkStart w:id="17" w:name="_Ref291569750"/>
      <w:r>
        <w:t xml:space="preserve">Graf </w:t>
      </w:r>
      <w:r w:rsidR="00123915">
        <w:fldChar w:fldCharType="begin"/>
      </w:r>
      <w:r w:rsidR="00123915">
        <w:instrText xml:space="preserve"> SEQ Graf \* ARABIC </w:instrText>
      </w:r>
      <w:r w:rsidR="00123915">
        <w:fldChar w:fldCharType="separate"/>
      </w:r>
      <w:r w:rsidR="008553E3">
        <w:rPr>
          <w:noProof/>
        </w:rPr>
        <w:t>7</w:t>
      </w:r>
      <w:r w:rsidR="00123915">
        <w:rPr>
          <w:noProof/>
        </w:rPr>
        <w:fldChar w:fldCharType="end"/>
      </w:r>
      <w:bookmarkEnd w:id="17"/>
      <w:r>
        <w:t xml:space="preserve"> – Příspěvky resortů k úspoře dosažené v roce </w:t>
      </w:r>
      <w:r w:rsidR="00815C58">
        <w:t>2015</w:t>
      </w:r>
    </w:p>
    <w:p w:rsidR="00B469E0" w:rsidRDefault="00B469E0" w:rsidP="00CD2EEF">
      <w:pPr>
        <w:pStyle w:val="Nadpis1"/>
        <w:rPr>
          <w:rFonts w:cs="Times New Roman"/>
        </w:rPr>
      </w:pPr>
      <w:bookmarkStart w:id="18" w:name="_Toc450122001"/>
      <w:r w:rsidRPr="00C01596">
        <w:lastRenderedPageBreak/>
        <w:t>Závěr</w:t>
      </w:r>
      <w:bookmarkEnd w:id="18"/>
    </w:p>
    <w:p w:rsidR="00B469E0" w:rsidRDefault="00B469E0" w:rsidP="00886751">
      <w:pPr>
        <w:jc w:val="both"/>
      </w:pPr>
      <w:r>
        <w:t xml:space="preserve">Systém </w:t>
      </w:r>
      <w:r w:rsidR="00991D4F">
        <w:t>monitorování spotřeby energie</w:t>
      </w:r>
      <w:r>
        <w:t xml:space="preserve"> vybraných vládních budov je provozován v souladu s plánem. Výsledky roku </w:t>
      </w:r>
      <w:r w:rsidR="00815C58">
        <w:t>2015</w:t>
      </w:r>
      <w:r>
        <w:t xml:space="preserve"> lze hodnotit jako úspěšné. V průběhu roku </w:t>
      </w:r>
      <w:r w:rsidR="00815C58">
        <w:t>2015</w:t>
      </w:r>
      <w:r>
        <w:t xml:space="preserve"> se dařilo plnit všechny vytyčené hlavní cíle:</w:t>
      </w:r>
    </w:p>
    <w:p w:rsidR="00B469E0" w:rsidRPr="009F1E80" w:rsidRDefault="00B469E0" w:rsidP="00886751">
      <w:pPr>
        <w:numPr>
          <w:ilvl w:val="0"/>
          <w:numId w:val="9"/>
        </w:numPr>
        <w:tabs>
          <w:tab w:val="clear" w:pos="720"/>
          <w:tab w:val="num" w:pos="900"/>
        </w:tabs>
        <w:ind w:left="900"/>
        <w:jc w:val="both"/>
      </w:pPr>
      <w:r w:rsidRPr="009F1E80">
        <w:t xml:space="preserve">Dosažené úspory </w:t>
      </w:r>
      <w:r>
        <w:t>výrazně</w:t>
      </w:r>
      <w:r w:rsidRPr="009F1E80">
        <w:t xml:space="preserve"> převyšují náklady na provoz Systému energetického řízení ve vybraných </w:t>
      </w:r>
      <w:r w:rsidR="00991D4F">
        <w:t xml:space="preserve">budovách </w:t>
      </w:r>
      <w:r w:rsidRPr="009F1E80">
        <w:t>vládních institucí</w:t>
      </w:r>
    </w:p>
    <w:p w:rsidR="00672A5A" w:rsidRDefault="00672A5A" w:rsidP="00886751">
      <w:pPr>
        <w:numPr>
          <w:ilvl w:val="0"/>
          <w:numId w:val="9"/>
        </w:numPr>
        <w:tabs>
          <w:tab w:val="clear" w:pos="720"/>
          <w:tab w:val="num" w:pos="900"/>
        </w:tabs>
        <w:ind w:left="900"/>
        <w:jc w:val="both"/>
      </w:pPr>
      <w:r>
        <w:t xml:space="preserve">Zkušenosti z provozování systému monitorování vládních </w:t>
      </w:r>
      <w:r w:rsidR="00991D4F">
        <w:t>budov</w:t>
      </w:r>
      <w:r>
        <w:t xml:space="preserve"> jsou využívány při řešení problematiky spojené s implementací článku 5 Směrnice o energetické účinnosti</w:t>
      </w:r>
    </w:p>
    <w:p w:rsidR="00B469E0" w:rsidRPr="009F1E80" w:rsidRDefault="00B469E0" w:rsidP="00886751">
      <w:pPr>
        <w:numPr>
          <w:ilvl w:val="0"/>
          <w:numId w:val="9"/>
        </w:numPr>
        <w:tabs>
          <w:tab w:val="clear" w:pos="720"/>
          <w:tab w:val="num" w:pos="900"/>
        </w:tabs>
        <w:ind w:left="900"/>
        <w:jc w:val="both"/>
      </w:pPr>
      <w:r w:rsidRPr="009F1E80">
        <w:t>Pravidelný reporting je v jednotné struktuře dostupný všem členům pracovní skupiny a sjednocuje tak přístup jednotlivých resortů k problematice energetického řízení</w:t>
      </w:r>
    </w:p>
    <w:p w:rsidR="00B469E0" w:rsidRDefault="00B469E0" w:rsidP="00886751">
      <w:pPr>
        <w:numPr>
          <w:ilvl w:val="0"/>
          <w:numId w:val="9"/>
        </w:numPr>
        <w:tabs>
          <w:tab w:val="clear" w:pos="720"/>
          <w:tab w:val="num" w:pos="900"/>
        </w:tabs>
        <w:ind w:left="900"/>
        <w:jc w:val="both"/>
      </w:pPr>
      <w:r w:rsidRPr="009F1E80">
        <w:t xml:space="preserve">Vytvořená meziresortní pracovní skupina je dobrou platformou pro koordinaci činnosti resortních energetiků v oblasti energetického </w:t>
      </w:r>
      <w:r>
        <w:t>managementu</w:t>
      </w:r>
      <w:r w:rsidRPr="009F1E80">
        <w:t xml:space="preserve"> a pro výměnu </w:t>
      </w:r>
      <w:r>
        <w:t xml:space="preserve">informací a </w:t>
      </w:r>
      <w:r w:rsidRPr="009F1E80">
        <w:t>zkušeností</w:t>
      </w:r>
    </w:p>
    <w:p w:rsidR="00B469E0" w:rsidRPr="009F1E80" w:rsidRDefault="00B469E0" w:rsidP="00886751">
      <w:pPr>
        <w:numPr>
          <w:ilvl w:val="0"/>
          <w:numId w:val="9"/>
        </w:numPr>
        <w:tabs>
          <w:tab w:val="clear" w:pos="720"/>
          <w:tab w:val="num" w:pos="900"/>
        </w:tabs>
        <w:ind w:left="900"/>
        <w:jc w:val="both"/>
      </w:pPr>
      <w:r>
        <w:t>Administrátor systému je resortním energetikům k dispozici v roli odborného garanta a pomáhá jim řešit problémy, se kterými se na něj obracejí</w:t>
      </w:r>
    </w:p>
    <w:p w:rsidR="00961EFF" w:rsidRPr="00961EFF" w:rsidRDefault="00961EFF" w:rsidP="00961EFF">
      <w:pPr>
        <w:jc w:val="both"/>
      </w:pPr>
      <w:bookmarkStart w:id="19" w:name="_GoBack"/>
      <w:bookmarkEnd w:id="19"/>
      <w:r w:rsidRPr="00961EFF">
        <w:t>Na základě výše uvedeného hodnocení doporučujeme systém monitorování spotřeby energie nadále provozovat a rozvíjet. Avšak pro lepší přehlednost navrhujeme spojit tento monitoring (též označovaný jako Monitoring I.) s novou podobou rozšířeného Monitoringu, který MPO realizuje podle § 9b odst. 3 zákona č. 406/2000 Sb., o hospodaření energií, ve znění pozdějších předpisů, a provádět jeho vyhodnocování spolu s ostatními na základě usnesení č. 1035 ze dne 14. prosince 2015, a to každoročně do 30. června.</w:t>
      </w:r>
    </w:p>
    <w:p w:rsidR="00961EFF" w:rsidRDefault="00961EFF" w:rsidP="00886751">
      <w:pPr>
        <w:jc w:val="both"/>
      </w:pPr>
    </w:p>
    <w:sectPr w:rsidR="00961EFF" w:rsidSect="00C43EF2">
      <w:headerReference w:type="default" r:id="rId18"/>
      <w:pgSz w:w="11906" w:h="16838"/>
      <w:pgMar w:top="1382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AFC" w:rsidRDefault="00781AFC">
      <w:r>
        <w:separator/>
      </w:r>
    </w:p>
  </w:endnote>
  <w:endnote w:type="continuationSeparator" w:id="0">
    <w:p w:rsidR="00781AFC" w:rsidRDefault="0078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915" w:rsidRDefault="00123915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961EFF">
      <w:rPr>
        <w:noProof/>
      </w:rPr>
      <w:t>11</w:t>
    </w:r>
    <w:r>
      <w:rPr>
        <w:noProof/>
      </w:rPr>
      <w:fldChar w:fldCharType="end"/>
    </w:r>
  </w:p>
  <w:p w:rsidR="00123915" w:rsidRDefault="001239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915" w:rsidRDefault="001239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AFC" w:rsidRDefault="00781AFC">
      <w:r>
        <w:separator/>
      </w:r>
    </w:p>
  </w:footnote>
  <w:footnote w:type="continuationSeparator" w:id="0">
    <w:p w:rsidR="00781AFC" w:rsidRDefault="00781AFC">
      <w:r>
        <w:continuationSeparator/>
      </w:r>
    </w:p>
  </w:footnote>
  <w:footnote w:id="1">
    <w:p w:rsidR="00123915" w:rsidRDefault="0012391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64ECA">
        <w:t>o vyhodnocení Státního programu na podporu úspor energie a využití obnovitelných zdrojů energie pro rok 2006 a Analýze efektivnosti a účinnosti Státního programu na podporu úspor energie a vyššího využití obnovitelných zdrojů energie za uplynulé období</w:t>
      </w:r>
    </w:p>
  </w:footnote>
  <w:footnote w:id="2">
    <w:p w:rsidR="00811D6B" w:rsidRDefault="00811D6B">
      <w:pPr>
        <w:pStyle w:val="Textpoznpodarou"/>
      </w:pPr>
      <w:r>
        <w:rPr>
          <w:rStyle w:val="Znakapoznpodarou"/>
        </w:rPr>
        <w:footnoteRef/>
      </w:r>
      <w:r>
        <w:t xml:space="preserve"> výchozí základnou pro porovnání jsou reálné výsledky roku 2009</w:t>
      </w:r>
    </w:p>
  </w:footnote>
  <w:footnote w:id="3">
    <w:p w:rsidR="00C00220" w:rsidRDefault="00C002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11D6B">
        <w:t>u</w:t>
      </w:r>
      <w:r>
        <w:t xml:space="preserve">kazatel užívaný mimo jiné pro hodnocení </w:t>
      </w:r>
      <w:r w:rsidR="00C0435C">
        <w:t xml:space="preserve">nároků na vytápění ve zvoleném časovém </w:t>
      </w:r>
      <w:r w:rsidR="00312316">
        <w:t xml:space="preserve">intervalu topného </w:t>
      </w:r>
      <w:r w:rsidR="00C0435C">
        <w:t>období. Stanovuje se jako časově kumulovaný rozdíl venkovní a vnitřní teploty.</w:t>
      </w:r>
    </w:p>
  </w:footnote>
  <w:footnote w:id="4">
    <w:p w:rsidR="00123915" w:rsidRDefault="00123915">
      <w:pPr>
        <w:pStyle w:val="Textpoznpodarou"/>
      </w:pPr>
      <w:r>
        <w:rPr>
          <w:rStyle w:val="Znakapoznpodarou"/>
        </w:rPr>
        <w:footnoteRef/>
      </w:r>
      <w:r>
        <w:t xml:space="preserve"> Kumulované úspory energie zohledňují pouze přínosy v oblasti úspory množství spotřebované energie. Úspory dosažené snížením ce</w:t>
      </w:r>
      <w:r w:rsidR="00672A5A">
        <w:t xml:space="preserve">ny nakupované energie je třeba </w:t>
      </w:r>
      <w:r>
        <w:t>dodatečně přičíst.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915" w:rsidRDefault="00CD0697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>
              <wp:simplePos x="0" y="0"/>
              <wp:positionH relativeFrom="page">
                <wp:posOffset>1533525</wp:posOffset>
              </wp:positionH>
              <wp:positionV relativeFrom="page">
                <wp:posOffset>1118870</wp:posOffset>
              </wp:positionV>
              <wp:extent cx="5173980" cy="250825"/>
              <wp:effectExtent l="0" t="4445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3980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3915" w:rsidRDefault="0012391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16"/>
                              <w:szCs w:val="16"/>
                            </w:rPr>
                            <w:t>OBSAH</w:t>
                          </w:r>
                        </w:p>
                        <w:p w:rsidR="00123915" w:rsidRDefault="001239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20.75pt;margin-top:88.1pt;width:407.4pt;height:19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V3qwIAAKk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" filled="f" stroked="f">
              <v:textbox inset="0,0,0,0">
                <w:txbxContent>
                  <w:p w:rsidR="00123915" w:rsidRDefault="00123915">
                    <w:pPr>
                      <w:jc w:val="right"/>
                      <w:rPr>
                        <w:rFonts w:ascii="Arial" w:hAnsi="Arial" w:cs="Arial"/>
                        <w:b/>
                        <w:bCs/>
                        <w:cap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aps/>
                        <w:sz w:val="16"/>
                        <w:szCs w:val="16"/>
                      </w:rPr>
                      <w:t>OBSAH</w:t>
                    </w:r>
                  </w:p>
                  <w:p w:rsidR="00123915" w:rsidRDefault="00123915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123915" w:rsidRDefault="00123915">
    <w:pPr>
      <w:pStyle w:val="Zhlav"/>
      <w:tabs>
        <w:tab w:val="clear" w:pos="4153"/>
        <w:tab w:val="clear" w:pos="8306"/>
        <w:tab w:val="left" w:pos="5267"/>
      </w:tabs>
    </w:pPr>
    <w:r>
      <w:tab/>
    </w:r>
  </w:p>
  <w:p w:rsidR="00123915" w:rsidRDefault="0012391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915" w:rsidRDefault="00CD0697" w:rsidP="008A6ABE">
    <w:pPr>
      <w:jc w:val="righ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1" layoutInCell="1" allowOverlap="1">
              <wp:simplePos x="0" y="0"/>
              <wp:positionH relativeFrom="page">
                <wp:posOffset>1266825</wp:posOffset>
              </wp:positionH>
              <wp:positionV relativeFrom="page">
                <wp:posOffset>409575</wp:posOffset>
              </wp:positionV>
              <wp:extent cx="5173980" cy="25082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3980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3915" w:rsidRPr="008A6ABE" w:rsidRDefault="00123915" w:rsidP="008A6ABE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16"/>
                              <w:szCs w:val="16"/>
                            </w:rPr>
                          </w:pPr>
                          <w:r w:rsidRPr="008A6ABE"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16"/>
                              <w:szCs w:val="16"/>
                            </w:rPr>
                            <w:t xml:space="preserve">ZPRÁVA O PROVOZU SYSTÉMU MONITOROVÁNÍ SPOTŘEBY ENERGIE VLÁDNÍCH </w:t>
                          </w:r>
                          <w:r w:rsidR="00672A5A"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16"/>
                              <w:szCs w:val="16"/>
                            </w:rPr>
                            <w:t>BUDOV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99.75pt;margin-top:32.25pt;width:407.4pt;height:19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Agrg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" filled="f" stroked="f">
              <v:textbox inset="0,0,0,0">
                <w:txbxContent>
                  <w:p w:rsidR="00123915" w:rsidRPr="008A6ABE" w:rsidRDefault="00123915" w:rsidP="008A6ABE">
                    <w:pPr>
                      <w:jc w:val="right"/>
                      <w:rPr>
                        <w:rFonts w:ascii="Arial" w:hAnsi="Arial" w:cs="Arial"/>
                        <w:b/>
                        <w:bCs/>
                        <w:caps/>
                        <w:sz w:val="16"/>
                        <w:szCs w:val="16"/>
                      </w:rPr>
                    </w:pPr>
                    <w:r w:rsidRPr="008A6ABE">
                      <w:rPr>
                        <w:rFonts w:ascii="Arial" w:hAnsi="Arial" w:cs="Arial"/>
                        <w:b/>
                        <w:bCs/>
                        <w:caps/>
                        <w:sz w:val="16"/>
                        <w:szCs w:val="16"/>
                      </w:rPr>
                      <w:t xml:space="preserve">ZPRÁVA O PROVOZU SYSTÉMU MONITOROVÁNÍ SPOTŘEBY ENERGIE VLÁDNÍCH </w:t>
                    </w:r>
                    <w:r w:rsidR="00672A5A">
                      <w:rPr>
                        <w:rFonts w:ascii="Arial" w:hAnsi="Arial" w:cs="Arial"/>
                        <w:b/>
                        <w:bCs/>
                        <w:caps/>
                        <w:sz w:val="16"/>
                        <w:szCs w:val="16"/>
                      </w:rPr>
                      <w:t>BUDOV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537D4"/>
    <w:multiLevelType w:val="hybridMultilevel"/>
    <w:tmpl w:val="161EC8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03395D"/>
    <w:multiLevelType w:val="multilevel"/>
    <w:tmpl w:val="2284764C"/>
    <w:lvl w:ilvl="0">
      <w:start w:val="1"/>
      <w:numFmt w:val="decimal"/>
      <w:pStyle w:val="FigureHeading"/>
      <w:lvlText w:val="Obrázek %1:"/>
      <w:lvlJc w:val="left"/>
      <w:pPr>
        <w:tabs>
          <w:tab w:val="num" w:pos="2367"/>
        </w:tabs>
        <w:ind w:left="1272" w:hanging="705"/>
      </w:pPr>
      <w:rPr>
        <w:rFonts w:ascii="Arial" w:hAnsi="Arial" w:cs="Arial" w:hint="default"/>
        <w:b/>
        <w:bCs/>
        <w:i w:val="0"/>
        <w:iCs w:val="0"/>
      </w:rPr>
    </w:lvl>
    <w:lvl w:ilvl="1">
      <w:start w:val="2"/>
      <w:numFmt w:val="decimal"/>
      <w:lvlText w:val="2.%2"/>
      <w:lvlJc w:val="left"/>
      <w:pPr>
        <w:tabs>
          <w:tab w:val="num" w:pos="1975"/>
        </w:tabs>
        <w:ind w:left="1975" w:hanging="705"/>
      </w:pPr>
      <w:rPr>
        <w:rFonts w:hint="default"/>
      </w:rPr>
    </w:lvl>
    <w:lvl w:ilvl="2">
      <w:start w:val="1"/>
      <w:numFmt w:val="decimal"/>
      <w:lvlText w:val="2.%2.%3"/>
      <w:lvlJc w:val="left"/>
      <w:pPr>
        <w:tabs>
          <w:tab w:val="num" w:pos="2693"/>
        </w:tabs>
        <w:ind w:left="269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96"/>
        </w:tabs>
        <w:ind w:left="33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59"/>
        </w:tabs>
        <w:ind w:left="445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62"/>
        </w:tabs>
        <w:ind w:left="516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25"/>
        </w:tabs>
        <w:ind w:left="622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28"/>
        </w:tabs>
        <w:ind w:left="69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91"/>
        </w:tabs>
        <w:ind w:left="7991" w:hanging="1800"/>
      </w:pPr>
      <w:rPr>
        <w:rFonts w:hint="default"/>
      </w:rPr>
    </w:lvl>
  </w:abstractNum>
  <w:abstractNum w:abstractNumId="2" w15:restartNumberingAfterBreak="0">
    <w:nsid w:val="1C342E49"/>
    <w:multiLevelType w:val="hybridMultilevel"/>
    <w:tmpl w:val="B7780222"/>
    <w:lvl w:ilvl="0" w:tplc="3CE20ED4">
      <w:start w:val="1"/>
      <w:numFmt w:val="decimal"/>
      <w:pStyle w:val="NumberText"/>
      <w:lvlText w:val="%1."/>
      <w:lvlJc w:val="left"/>
      <w:pPr>
        <w:tabs>
          <w:tab w:val="num" w:pos="1287"/>
        </w:tabs>
        <w:ind w:left="128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26FF49B3"/>
    <w:multiLevelType w:val="hybridMultilevel"/>
    <w:tmpl w:val="C3AAF6E2"/>
    <w:lvl w:ilvl="0" w:tplc="A678CEB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MS Mincho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60691"/>
    <w:multiLevelType w:val="hybridMultilevel"/>
    <w:tmpl w:val="36A82706"/>
    <w:lvl w:ilvl="0" w:tplc="948069A0">
      <w:start w:val="1"/>
      <w:numFmt w:val="bullet"/>
      <w:pStyle w:val="BulletText"/>
      <w:lvlText w:val=""/>
      <w:lvlJc w:val="left"/>
      <w:pPr>
        <w:tabs>
          <w:tab w:val="num" w:pos="927"/>
        </w:tabs>
        <w:ind w:left="927" w:hanging="360"/>
      </w:pPr>
      <w:rPr>
        <w:rFonts w:ascii="Wingdings 2" w:hAnsi="Wingdings 2" w:cs="Wingdings 2" w:hint="default"/>
        <w:sz w:val="14"/>
        <w:szCs w:val="14"/>
      </w:rPr>
    </w:lvl>
    <w:lvl w:ilvl="1" w:tplc="08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1B60FB"/>
    <w:multiLevelType w:val="hybridMultilevel"/>
    <w:tmpl w:val="25ACBB06"/>
    <w:lvl w:ilvl="0" w:tplc="D36C8F7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MS Mincho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F071169"/>
    <w:multiLevelType w:val="multilevel"/>
    <w:tmpl w:val="C2ACB1EC"/>
    <w:lvl w:ilvl="0">
      <w:start w:val="1"/>
      <w:numFmt w:val="decimal"/>
      <w:pStyle w:val="Nadpis1"/>
      <w:lvlText w:val="%1."/>
      <w:lvlJc w:val="left"/>
      <w:pPr>
        <w:tabs>
          <w:tab w:val="num" w:pos="1494"/>
        </w:tabs>
        <w:ind w:left="113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854"/>
        </w:tabs>
        <w:ind w:left="1134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854"/>
        </w:tabs>
        <w:ind w:left="113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854"/>
        </w:tabs>
        <w:ind w:left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21"/>
        </w:tabs>
        <w:ind w:left="39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41"/>
        </w:tabs>
        <w:ind w:left="44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01"/>
        </w:tabs>
        <w:ind w:left="49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21"/>
        </w:tabs>
        <w:ind w:left="54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81"/>
        </w:tabs>
        <w:ind w:left="6021" w:hanging="1440"/>
      </w:pPr>
      <w:rPr>
        <w:rFonts w:hint="default"/>
      </w:rPr>
    </w:lvl>
  </w:abstractNum>
  <w:abstractNum w:abstractNumId="7" w15:restartNumberingAfterBreak="0">
    <w:nsid w:val="4F7C2002"/>
    <w:multiLevelType w:val="multilevel"/>
    <w:tmpl w:val="F9107654"/>
    <w:lvl w:ilvl="0">
      <w:start w:val="1"/>
      <w:numFmt w:val="decimal"/>
      <w:pStyle w:val="TableHeading"/>
      <w:lvlText w:val="Tabulka %1:"/>
      <w:lvlJc w:val="left"/>
      <w:pPr>
        <w:tabs>
          <w:tab w:val="num" w:pos="1647"/>
        </w:tabs>
        <w:ind w:left="567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60CC4073"/>
    <w:multiLevelType w:val="multilevel"/>
    <w:tmpl w:val="55AAB56E"/>
    <w:lvl w:ilvl="0">
      <w:start w:val="1"/>
      <w:numFmt w:val="decimal"/>
      <w:pStyle w:val="AppendixNo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bCs/>
        <w:i w:val="0"/>
        <w:iCs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78"/>
        </w:tabs>
        <w:ind w:left="77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9" w15:restartNumberingAfterBreak="0">
    <w:nsid w:val="671C77A4"/>
    <w:multiLevelType w:val="hybridMultilevel"/>
    <w:tmpl w:val="3F005E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6"/>
  </w:num>
  <w:num w:numId="8">
    <w:abstractNumId w:val="0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61"/>
    <w:rsid w:val="00005C7A"/>
    <w:rsid w:val="00007CE6"/>
    <w:rsid w:val="0002001B"/>
    <w:rsid w:val="00030EE5"/>
    <w:rsid w:val="00041C23"/>
    <w:rsid w:val="00046146"/>
    <w:rsid w:val="000659A8"/>
    <w:rsid w:val="00075398"/>
    <w:rsid w:val="00087242"/>
    <w:rsid w:val="000A7287"/>
    <w:rsid w:val="000B330D"/>
    <w:rsid w:val="000B6753"/>
    <w:rsid w:val="000C2585"/>
    <w:rsid w:val="000C5DBD"/>
    <w:rsid w:val="000E55C2"/>
    <w:rsid w:val="000F0EF1"/>
    <w:rsid w:val="000F6AE8"/>
    <w:rsid w:val="00101514"/>
    <w:rsid w:val="00112B5F"/>
    <w:rsid w:val="00113ADE"/>
    <w:rsid w:val="00115C98"/>
    <w:rsid w:val="00123915"/>
    <w:rsid w:val="00130354"/>
    <w:rsid w:val="0015485B"/>
    <w:rsid w:val="00155F84"/>
    <w:rsid w:val="001653DA"/>
    <w:rsid w:val="0018471A"/>
    <w:rsid w:val="00192F33"/>
    <w:rsid w:val="00196E32"/>
    <w:rsid w:val="001A6158"/>
    <w:rsid w:val="001C2EEC"/>
    <w:rsid w:val="001D2D0B"/>
    <w:rsid w:val="00221620"/>
    <w:rsid w:val="002258CF"/>
    <w:rsid w:val="00236CA8"/>
    <w:rsid w:val="00262C7B"/>
    <w:rsid w:val="00265FC9"/>
    <w:rsid w:val="0027413F"/>
    <w:rsid w:val="0027568B"/>
    <w:rsid w:val="002766D5"/>
    <w:rsid w:val="00284591"/>
    <w:rsid w:val="002915E4"/>
    <w:rsid w:val="002C193A"/>
    <w:rsid w:val="002C5298"/>
    <w:rsid w:val="002D3E85"/>
    <w:rsid w:val="002D4C4D"/>
    <w:rsid w:val="002D5D00"/>
    <w:rsid w:val="002F0292"/>
    <w:rsid w:val="00312316"/>
    <w:rsid w:val="00314114"/>
    <w:rsid w:val="0033497A"/>
    <w:rsid w:val="00353170"/>
    <w:rsid w:val="003540AC"/>
    <w:rsid w:val="00362BB3"/>
    <w:rsid w:val="0038405A"/>
    <w:rsid w:val="00384F00"/>
    <w:rsid w:val="00390CC1"/>
    <w:rsid w:val="003A56ED"/>
    <w:rsid w:val="003A5D43"/>
    <w:rsid w:val="003A79B9"/>
    <w:rsid w:val="003B6598"/>
    <w:rsid w:val="003C663A"/>
    <w:rsid w:val="003C7833"/>
    <w:rsid w:val="003D238C"/>
    <w:rsid w:val="003D23FC"/>
    <w:rsid w:val="003D72D6"/>
    <w:rsid w:val="003F3A02"/>
    <w:rsid w:val="0040026D"/>
    <w:rsid w:val="00400A18"/>
    <w:rsid w:val="0041306E"/>
    <w:rsid w:val="004140A6"/>
    <w:rsid w:val="00415E1E"/>
    <w:rsid w:val="004462F5"/>
    <w:rsid w:val="004523ED"/>
    <w:rsid w:val="00455864"/>
    <w:rsid w:val="00477173"/>
    <w:rsid w:val="0048173A"/>
    <w:rsid w:val="00486ACB"/>
    <w:rsid w:val="00490B80"/>
    <w:rsid w:val="004A7FE9"/>
    <w:rsid w:val="004B495B"/>
    <w:rsid w:val="004E5F76"/>
    <w:rsid w:val="004F1443"/>
    <w:rsid w:val="004F5D95"/>
    <w:rsid w:val="00500D60"/>
    <w:rsid w:val="0050712D"/>
    <w:rsid w:val="00512319"/>
    <w:rsid w:val="00513581"/>
    <w:rsid w:val="005235A9"/>
    <w:rsid w:val="00527007"/>
    <w:rsid w:val="005312E8"/>
    <w:rsid w:val="005544A5"/>
    <w:rsid w:val="00555869"/>
    <w:rsid w:val="00571999"/>
    <w:rsid w:val="005726D5"/>
    <w:rsid w:val="00574F75"/>
    <w:rsid w:val="00576C6F"/>
    <w:rsid w:val="00576C8A"/>
    <w:rsid w:val="00577B23"/>
    <w:rsid w:val="005848E4"/>
    <w:rsid w:val="00595F34"/>
    <w:rsid w:val="005C1FEA"/>
    <w:rsid w:val="005C717B"/>
    <w:rsid w:val="005D5C1E"/>
    <w:rsid w:val="005D7001"/>
    <w:rsid w:val="005E734B"/>
    <w:rsid w:val="005F4830"/>
    <w:rsid w:val="005F6CF4"/>
    <w:rsid w:val="00600055"/>
    <w:rsid w:val="00611821"/>
    <w:rsid w:val="0061198F"/>
    <w:rsid w:val="00630D48"/>
    <w:rsid w:val="006319DD"/>
    <w:rsid w:val="0063236D"/>
    <w:rsid w:val="00633087"/>
    <w:rsid w:val="006341BA"/>
    <w:rsid w:val="0063608F"/>
    <w:rsid w:val="00636509"/>
    <w:rsid w:val="00646EB3"/>
    <w:rsid w:val="006611C7"/>
    <w:rsid w:val="006702A2"/>
    <w:rsid w:val="00672A5A"/>
    <w:rsid w:val="00684102"/>
    <w:rsid w:val="00691553"/>
    <w:rsid w:val="00692353"/>
    <w:rsid w:val="00696AAA"/>
    <w:rsid w:val="006A72B8"/>
    <w:rsid w:val="006C5035"/>
    <w:rsid w:val="006C5286"/>
    <w:rsid w:val="006D188A"/>
    <w:rsid w:val="006D2720"/>
    <w:rsid w:val="006D4689"/>
    <w:rsid w:val="006E1272"/>
    <w:rsid w:val="006E206F"/>
    <w:rsid w:val="00717AA0"/>
    <w:rsid w:val="007648D0"/>
    <w:rsid w:val="00770710"/>
    <w:rsid w:val="00775FDC"/>
    <w:rsid w:val="007771FB"/>
    <w:rsid w:val="00780999"/>
    <w:rsid w:val="00781AFC"/>
    <w:rsid w:val="007A270C"/>
    <w:rsid w:val="007A4AA4"/>
    <w:rsid w:val="007B6289"/>
    <w:rsid w:val="007D34DE"/>
    <w:rsid w:val="007E4048"/>
    <w:rsid w:val="007F5727"/>
    <w:rsid w:val="00811D6B"/>
    <w:rsid w:val="0081489A"/>
    <w:rsid w:val="00815C58"/>
    <w:rsid w:val="00832BB7"/>
    <w:rsid w:val="008464AA"/>
    <w:rsid w:val="008546F9"/>
    <w:rsid w:val="008553E3"/>
    <w:rsid w:val="00886751"/>
    <w:rsid w:val="008A6ABE"/>
    <w:rsid w:val="008B0948"/>
    <w:rsid w:val="008B7601"/>
    <w:rsid w:val="008B7E22"/>
    <w:rsid w:val="008C3AB8"/>
    <w:rsid w:val="008C5C52"/>
    <w:rsid w:val="008C607E"/>
    <w:rsid w:val="008D20D3"/>
    <w:rsid w:val="008D24DE"/>
    <w:rsid w:val="008E293C"/>
    <w:rsid w:val="009157EE"/>
    <w:rsid w:val="00917BC3"/>
    <w:rsid w:val="00920992"/>
    <w:rsid w:val="00934A22"/>
    <w:rsid w:val="00937ACC"/>
    <w:rsid w:val="009432DE"/>
    <w:rsid w:val="00952FD0"/>
    <w:rsid w:val="00961EFF"/>
    <w:rsid w:val="009637D4"/>
    <w:rsid w:val="00973C6D"/>
    <w:rsid w:val="0097458E"/>
    <w:rsid w:val="009816A8"/>
    <w:rsid w:val="00991D4F"/>
    <w:rsid w:val="00994B70"/>
    <w:rsid w:val="00996CFA"/>
    <w:rsid w:val="009A40B6"/>
    <w:rsid w:val="009B0001"/>
    <w:rsid w:val="009B573F"/>
    <w:rsid w:val="009C2872"/>
    <w:rsid w:val="009C2C8E"/>
    <w:rsid w:val="009C3689"/>
    <w:rsid w:val="009C4FE7"/>
    <w:rsid w:val="009D7710"/>
    <w:rsid w:val="009E58A3"/>
    <w:rsid w:val="009F07CB"/>
    <w:rsid w:val="009F1E80"/>
    <w:rsid w:val="009F4963"/>
    <w:rsid w:val="009F7815"/>
    <w:rsid w:val="00A05A95"/>
    <w:rsid w:val="00A06410"/>
    <w:rsid w:val="00A10E0C"/>
    <w:rsid w:val="00A34DBB"/>
    <w:rsid w:val="00A35C48"/>
    <w:rsid w:val="00A373AC"/>
    <w:rsid w:val="00A379B1"/>
    <w:rsid w:val="00A37A19"/>
    <w:rsid w:val="00A447B7"/>
    <w:rsid w:val="00A511C9"/>
    <w:rsid w:val="00A63167"/>
    <w:rsid w:val="00A6663C"/>
    <w:rsid w:val="00A72B1E"/>
    <w:rsid w:val="00A73159"/>
    <w:rsid w:val="00A75419"/>
    <w:rsid w:val="00A935E2"/>
    <w:rsid w:val="00AA3BF5"/>
    <w:rsid w:val="00AA6A54"/>
    <w:rsid w:val="00AB5CCB"/>
    <w:rsid w:val="00AC77E4"/>
    <w:rsid w:val="00AD4B85"/>
    <w:rsid w:val="00AF6FD4"/>
    <w:rsid w:val="00B00CD8"/>
    <w:rsid w:val="00B016F3"/>
    <w:rsid w:val="00B22A8B"/>
    <w:rsid w:val="00B307CE"/>
    <w:rsid w:val="00B469E0"/>
    <w:rsid w:val="00B51188"/>
    <w:rsid w:val="00B6354C"/>
    <w:rsid w:val="00B734ED"/>
    <w:rsid w:val="00B82D28"/>
    <w:rsid w:val="00B864F7"/>
    <w:rsid w:val="00B87D7A"/>
    <w:rsid w:val="00B97ECB"/>
    <w:rsid w:val="00BB3C1C"/>
    <w:rsid w:val="00BB724B"/>
    <w:rsid w:val="00BC226F"/>
    <w:rsid w:val="00C00220"/>
    <w:rsid w:val="00C00C74"/>
    <w:rsid w:val="00C01596"/>
    <w:rsid w:val="00C02BC3"/>
    <w:rsid w:val="00C0435C"/>
    <w:rsid w:val="00C04542"/>
    <w:rsid w:val="00C14632"/>
    <w:rsid w:val="00C3630F"/>
    <w:rsid w:val="00C43CB8"/>
    <w:rsid w:val="00C43EF2"/>
    <w:rsid w:val="00C51BF6"/>
    <w:rsid w:val="00C66761"/>
    <w:rsid w:val="00C66C3C"/>
    <w:rsid w:val="00C670A7"/>
    <w:rsid w:val="00C8193F"/>
    <w:rsid w:val="00C81D91"/>
    <w:rsid w:val="00C83F0F"/>
    <w:rsid w:val="00C848ED"/>
    <w:rsid w:val="00C909FF"/>
    <w:rsid w:val="00C92EEA"/>
    <w:rsid w:val="00C93352"/>
    <w:rsid w:val="00C965F8"/>
    <w:rsid w:val="00CA0C46"/>
    <w:rsid w:val="00CA3084"/>
    <w:rsid w:val="00CA4712"/>
    <w:rsid w:val="00CB5883"/>
    <w:rsid w:val="00CD0697"/>
    <w:rsid w:val="00CD2EEF"/>
    <w:rsid w:val="00CD3BE4"/>
    <w:rsid w:val="00CD5DBF"/>
    <w:rsid w:val="00CD7583"/>
    <w:rsid w:val="00CD7A11"/>
    <w:rsid w:val="00CE4963"/>
    <w:rsid w:val="00D01651"/>
    <w:rsid w:val="00D028AE"/>
    <w:rsid w:val="00D06060"/>
    <w:rsid w:val="00D111D5"/>
    <w:rsid w:val="00D22031"/>
    <w:rsid w:val="00D22E68"/>
    <w:rsid w:val="00D27720"/>
    <w:rsid w:val="00D30F39"/>
    <w:rsid w:val="00D3401A"/>
    <w:rsid w:val="00D34EE7"/>
    <w:rsid w:val="00D371A3"/>
    <w:rsid w:val="00D46CEA"/>
    <w:rsid w:val="00D64941"/>
    <w:rsid w:val="00D651BD"/>
    <w:rsid w:val="00D81A18"/>
    <w:rsid w:val="00D9194F"/>
    <w:rsid w:val="00DA7D7A"/>
    <w:rsid w:val="00DB47C0"/>
    <w:rsid w:val="00DC40C7"/>
    <w:rsid w:val="00DC4953"/>
    <w:rsid w:val="00DD6CAA"/>
    <w:rsid w:val="00DE0F8F"/>
    <w:rsid w:val="00DE2709"/>
    <w:rsid w:val="00DE56A9"/>
    <w:rsid w:val="00DE6F3B"/>
    <w:rsid w:val="00DE72E7"/>
    <w:rsid w:val="00DE77CB"/>
    <w:rsid w:val="00DF0B5E"/>
    <w:rsid w:val="00DF36A7"/>
    <w:rsid w:val="00DF5474"/>
    <w:rsid w:val="00E036E6"/>
    <w:rsid w:val="00E1326C"/>
    <w:rsid w:val="00E436AF"/>
    <w:rsid w:val="00E43FEE"/>
    <w:rsid w:val="00E54057"/>
    <w:rsid w:val="00E55B6E"/>
    <w:rsid w:val="00E613DB"/>
    <w:rsid w:val="00E64ECA"/>
    <w:rsid w:val="00E70A6F"/>
    <w:rsid w:val="00E70E99"/>
    <w:rsid w:val="00E73239"/>
    <w:rsid w:val="00E754F9"/>
    <w:rsid w:val="00E80479"/>
    <w:rsid w:val="00E86151"/>
    <w:rsid w:val="00EA213A"/>
    <w:rsid w:val="00EA500B"/>
    <w:rsid w:val="00EB0286"/>
    <w:rsid w:val="00EC65D8"/>
    <w:rsid w:val="00EC7DE0"/>
    <w:rsid w:val="00EE7C9B"/>
    <w:rsid w:val="00EF093C"/>
    <w:rsid w:val="00EF717B"/>
    <w:rsid w:val="00F005EA"/>
    <w:rsid w:val="00F03A27"/>
    <w:rsid w:val="00F45B58"/>
    <w:rsid w:val="00F571EC"/>
    <w:rsid w:val="00F62C24"/>
    <w:rsid w:val="00F65252"/>
    <w:rsid w:val="00F81A38"/>
    <w:rsid w:val="00F867C7"/>
    <w:rsid w:val="00FA2133"/>
    <w:rsid w:val="00FA496C"/>
    <w:rsid w:val="00FB6028"/>
    <w:rsid w:val="00FC007D"/>
    <w:rsid w:val="00FC0BB4"/>
    <w:rsid w:val="00FC48A8"/>
    <w:rsid w:val="00FD3BF1"/>
    <w:rsid w:val="00FD54F4"/>
    <w:rsid w:val="00FE0115"/>
    <w:rsid w:val="00FE1D70"/>
    <w:rsid w:val="00F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EE1F8690-3336-4F3A-BF41-FC265903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EEF"/>
    <w:pPr>
      <w:spacing w:after="240"/>
      <w:ind w:left="567"/>
    </w:pPr>
    <w:rPr>
      <w:sz w:val="24"/>
      <w:szCs w:val="24"/>
      <w:lang w:val="cs-CZ"/>
    </w:rPr>
  </w:style>
  <w:style w:type="paragraph" w:styleId="Nadpis1">
    <w:name w:val="heading 1"/>
    <w:basedOn w:val="Normln"/>
    <w:next w:val="MainText"/>
    <w:link w:val="Nadpis1Char"/>
    <w:uiPriority w:val="99"/>
    <w:qFormat/>
    <w:rsid w:val="00265FC9"/>
    <w:pPr>
      <w:keepNext/>
      <w:pageBreakBefore/>
      <w:numPr>
        <w:numId w:val="5"/>
      </w:numPr>
      <w:tabs>
        <w:tab w:val="left" w:pos="567"/>
      </w:tabs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MainText"/>
    <w:link w:val="Nadpis2Char"/>
    <w:uiPriority w:val="99"/>
    <w:qFormat/>
    <w:rsid w:val="00DC4953"/>
    <w:pPr>
      <w:keepNext/>
      <w:numPr>
        <w:ilvl w:val="1"/>
        <w:numId w:val="5"/>
      </w:numPr>
      <w:tabs>
        <w:tab w:val="left" w:pos="1259"/>
      </w:tabs>
      <w:spacing w:before="360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MainText"/>
    <w:link w:val="Nadpis3Char"/>
    <w:uiPriority w:val="99"/>
    <w:qFormat/>
    <w:rsid w:val="00265FC9"/>
    <w:pPr>
      <w:keepNext/>
      <w:numPr>
        <w:ilvl w:val="2"/>
        <w:numId w:val="5"/>
      </w:numPr>
      <w:spacing w:before="240"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MainText"/>
    <w:link w:val="Nadpis4Char"/>
    <w:uiPriority w:val="99"/>
    <w:qFormat/>
    <w:rsid w:val="00265FC9"/>
    <w:pPr>
      <w:keepNext/>
      <w:numPr>
        <w:ilvl w:val="3"/>
        <w:numId w:val="5"/>
      </w:numPr>
      <w:spacing w:before="24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265FC9"/>
    <w:pPr>
      <w:keepNext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265FC9"/>
    <w:pPr>
      <w:spacing w:before="240" w:after="60"/>
      <w:outlineLvl w:val="5"/>
    </w:pPr>
    <w:rPr>
      <w:rFonts w:ascii="Calibri" w:hAnsi="Calibri" w:cs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265FC9"/>
    <w:pPr>
      <w:keepNext/>
      <w:spacing w:after="110" w:line="220" w:lineRule="exact"/>
      <w:outlineLvl w:val="6"/>
    </w:pPr>
    <w:rPr>
      <w:rFonts w:ascii="Calibri" w:hAnsi="Calibri" w:cs="Calibri"/>
    </w:rPr>
  </w:style>
  <w:style w:type="paragraph" w:styleId="Nadpis8">
    <w:name w:val="heading 8"/>
    <w:basedOn w:val="Normln"/>
    <w:next w:val="Normln"/>
    <w:link w:val="Nadpis8Char"/>
    <w:uiPriority w:val="99"/>
    <w:qFormat/>
    <w:rsid w:val="00265FC9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265FC9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7539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sid w:val="00075398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9"/>
    <w:semiHidden/>
    <w:locked/>
    <w:rsid w:val="00075398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9"/>
    <w:semiHidden/>
    <w:locked/>
    <w:rsid w:val="00075398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9"/>
    <w:semiHidden/>
    <w:locked/>
    <w:rsid w:val="00075398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9"/>
    <w:semiHidden/>
    <w:locked/>
    <w:rsid w:val="00075398"/>
    <w:rPr>
      <w:rFonts w:ascii="Calibri" w:hAnsi="Calibri" w:cs="Calibri"/>
      <w:b/>
      <w:bCs/>
      <w:lang w:eastAsia="en-US"/>
    </w:rPr>
  </w:style>
  <w:style w:type="character" w:customStyle="1" w:styleId="Nadpis7Char">
    <w:name w:val="Nadpis 7 Char"/>
    <w:link w:val="Nadpis7"/>
    <w:uiPriority w:val="99"/>
    <w:semiHidden/>
    <w:locked/>
    <w:rsid w:val="00075398"/>
    <w:rPr>
      <w:rFonts w:ascii="Calibri" w:hAnsi="Calibri" w:cs="Calibri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9"/>
    <w:semiHidden/>
    <w:locked/>
    <w:rsid w:val="00075398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9"/>
    <w:semiHidden/>
    <w:locked/>
    <w:rsid w:val="00075398"/>
    <w:rPr>
      <w:rFonts w:ascii="Cambria" w:hAnsi="Cambria" w:cs="Cambria"/>
      <w:lang w:eastAsia="en-US"/>
    </w:rPr>
  </w:style>
  <w:style w:type="paragraph" w:customStyle="1" w:styleId="MainText">
    <w:name w:val="Main Text"/>
    <w:basedOn w:val="Normln"/>
    <w:uiPriority w:val="99"/>
    <w:rsid w:val="00265FC9"/>
    <w:pPr>
      <w:spacing w:before="240"/>
      <w:jc w:val="both"/>
    </w:pPr>
    <w:rPr>
      <w:rFonts w:ascii="Arial" w:hAnsi="Arial" w:cs="Arial"/>
      <w:spacing w:val="10"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265FC9"/>
    <w:rPr>
      <w:rFonts w:ascii="Arial" w:hAnsi="Arial" w:cs="Arial"/>
      <w:sz w:val="20"/>
      <w:szCs w:val="20"/>
    </w:rPr>
  </w:style>
  <w:style w:type="character" w:styleId="Sledovanodkaz">
    <w:name w:val="FollowedHyperlink"/>
    <w:uiPriority w:val="99"/>
    <w:rsid w:val="00265FC9"/>
    <w:rPr>
      <w:color w:val="800080"/>
      <w:u w:val="single"/>
    </w:rPr>
  </w:style>
  <w:style w:type="paragraph" w:customStyle="1" w:styleId="ClientName">
    <w:name w:val="Client Name"/>
    <w:basedOn w:val="Nadpis2"/>
    <w:uiPriority w:val="99"/>
    <w:rsid w:val="00265FC9"/>
    <w:pPr>
      <w:numPr>
        <w:ilvl w:val="0"/>
        <w:numId w:val="0"/>
      </w:numPr>
      <w:spacing w:before="0"/>
      <w:jc w:val="center"/>
    </w:pPr>
    <w:rPr>
      <w:sz w:val="48"/>
      <w:szCs w:val="48"/>
    </w:rPr>
  </w:style>
  <w:style w:type="paragraph" w:styleId="Seznamobrzk">
    <w:name w:val="table of figures"/>
    <w:basedOn w:val="Normln"/>
    <w:next w:val="Normln"/>
    <w:uiPriority w:val="99"/>
    <w:semiHidden/>
    <w:rsid w:val="00265FC9"/>
    <w:pPr>
      <w:ind w:left="480" w:hanging="480"/>
    </w:pPr>
  </w:style>
  <w:style w:type="paragraph" w:styleId="Obsah1">
    <w:name w:val="toc 1"/>
    <w:basedOn w:val="Normln"/>
    <w:next w:val="Obsah2"/>
    <w:autoRedefine/>
    <w:uiPriority w:val="39"/>
    <w:rsid w:val="00265FC9"/>
    <w:pPr>
      <w:tabs>
        <w:tab w:val="left" w:pos="1134"/>
        <w:tab w:val="right" w:pos="8806"/>
      </w:tabs>
      <w:spacing w:before="240" w:after="0"/>
      <w:ind w:right="567" w:hanging="567"/>
      <w:outlineLvl w:val="0"/>
    </w:pPr>
    <w:rPr>
      <w:rFonts w:ascii="Arial" w:hAnsi="Arial" w:cs="Arial"/>
      <w:b/>
      <w:bCs/>
      <w:caps/>
      <w:noProof/>
      <w:spacing w:val="10"/>
      <w:sz w:val="22"/>
      <w:szCs w:val="22"/>
      <w:lang w:val="en-GB"/>
    </w:rPr>
  </w:style>
  <w:style w:type="paragraph" w:styleId="Obsah2">
    <w:name w:val="toc 2"/>
    <w:basedOn w:val="Obsah1"/>
    <w:autoRedefine/>
    <w:uiPriority w:val="39"/>
    <w:rsid w:val="00265FC9"/>
    <w:pPr>
      <w:spacing w:before="120"/>
      <w:ind w:left="1134"/>
      <w:outlineLvl w:val="1"/>
    </w:pPr>
    <w:rPr>
      <w:b w:val="0"/>
      <w:bCs w:val="0"/>
      <w:caps w:val="0"/>
      <w:sz w:val="20"/>
      <w:szCs w:val="20"/>
    </w:rPr>
  </w:style>
  <w:style w:type="paragraph" w:customStyle="1" w:styleId="FigureHeading">
    <w:name w:val="Figure Heading"/>
    <w:basedOn w:val="MainText"/>
    <w:next w:val="MainText"/>
    <w:uiPriority w:val="99"/>
    <w:rsid w:val="00265FC9"/>
    <w:pPr>
      <w:keepNext/>
      <w:numPr>
        <w:numId w:val="1"/>
      </w:numPr>
      <w:tabs>
        <w:tab w:val="left" w:pos="1701"/>
      </w:tabs>
      <w:spacing w:before="360" w:after="120"/>
    </w:pPr>
    <w:rPr>
      <w:b/>
      <w:bCs/>
      <w:sz w:val="16"/>
      <w:szCs w:val="16"/>
    </w:rPr>
  </w:style>
  <w:style w:type="paragraph" w:customStyle="1" w:styleId="ProposalByDate">
    <w:name w:val="Proposal By/Date"/>
    <w:next w:val="Normln"/>
    <w:uiPriority w:val="99"/>
    <w:rsid w:val="00265FC9"/>
    <w:pPr>
      <w:jc w:val="center"/>
    </w:pPr>
    <w:rPr>
      <w:rFonts w:ascii="Arial" w:hAnsi="Arial" w:cs="Arial"/>
      <w:b/>
      <w:bCs/>
      <w:caps/>
      <w:spacing w:val="10"/>
      <w:sz w:val="18"/>
      <w:szCs w:val="18"/>
      <w:lang w:val="cs-CZ"/>
    </w:rPr>
  </w:style>
  <w:style w:type="paragraph" w:customStyle="1" w:styleId="ReportTitle">
    <w:name w:val="Report Title"/>
    <w:basedOn w:val="CompanyName"/>
    <w:uiPriority w:val="99"/>
    <w:rsid w:val="00265FC9"/>
    <w:pPr>
      <w:spacing w:before="360"/>
      <w:ind w:left="0" w:firstLine="0"/>
    </w:pPr>
  </w:style>
  <w:style w:type="paragraph" w:customStyle="1" w:styleId="CompanyName">
    <w:name w:val="CompanyName"/>
    <w:basedOn w:val="Nzev"/>
    <w:next w:val="Nzev"/>
    <w:uiPriority w:val="99"/>
    <w:rsid w:val="00265FC9"/>
    <w:pPr>
      <w:keepNext/>
      <w:keepLines/>
      <w:spacing w:before="0" w:after="0"/>
      <w:ind w:left="709" w:hanging="709"/>
      <w:outlineLvl w:val="9"/>
    </w:pPr>
    <w:rPr>
      <w:caps/>
      <w:kern w:val="0"/>
      <w:sz w:val="24"/>
      <w:szCs w:val="24"/>
      <w:lang w:eastAsia="en-GB"/>
    </w:rPr>
  </w:style>
  <w:style w:type="paragraph" w:styleId="Nzev">
    <w:name w:val="Title"/>
    <w:basedOn w:val="Normln"/>
    <w:link w:val="NzevChar"/>
    <w:uiPriority w:val="99"/>
    <w:qFormat/>
    <w:rsid w:val="00265FC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075398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ENProposalTitle">
    <w:name w:val="EN Proposal Title"/>
    <w:basedOn w:val="Nadpis3"/>
    <w:uiPriority w:val="99"/>
    <w:rsid w:val="00265FC9"/>
    <w:pPr>
      <w:spacing w:line="280" w:lineRule="exact"/>
    </w:pPr>
    <w:rPr>
      <w:sz w:val="24"/>
      <w:szCs w:val="24"/>
    </w:rPr>
  </w:style>
  <w:style w:type="paragraph" w:customStyle="1" w:styleId="ENItalicText">
    <w:name w:val="EN Italic Text"/>
    <w:basedOn w:val="MainText"/>
    <w:uiPriority w:val="99"/>
    <w:rsid w:val="00265FC9"/>
    <w:rPr>
      <w:i/>
      <w:iCs/>
    </w:rPr>
  </w:style>
  <w:style w:type="paragraph" w:styleId="Obsah4">
    <w:name w:val="toc 4"/>
    <w:basedOn w:val="Normln"/>
    <w:next w:val="Normln"/>
    <w:autoRedefine/>
    <w:uiPriority w:val="99"/>
    <w:semiHidden/>
    <w:rsid w:val="00265FC9"/>
    <w:pPr>
      <w:ind w:left="720"/>
    </w:pPr>
  </w:style>
  <w:style w:type="paragraph" w:customStyle="1" w:styleId="ExecutiveSummary">
    <w:name w:val="Executive Summary"/>
    <w:basedOn w:val="Nadpis5"/>
    <w:next w:val="MainText"/>
    <w:uiPriority w:val="99"/>
    <w:rsid w:val="00265FC9"/>
    <w:rPr>
      <w:caps/>
      <w:spacing w:val="10"/>
    </w:rPr>
  </w:style>
  <w:style w:type="paragraph" w:styleId="Obsah5">
    <w:name w:val="toc 5"/>
    <w:basedOn w:val="Normln"/>
    <w:next w:val="Normln"/>
    <w:autoRedefine/>
    <w:uiPriority w:val="99"/>
    <w:semiHidden/>
    <w:rsid w:val="00265FC9"/>
    <w:pPr>
      <w:ind w:left="960"/>
    </w:pPr>
  </w:style>
  <w:style w:type="paragraph" w:styleId="Obsah6">
    <w:name w:val="toc 6"/>
    <w:basedOn w:val="Normln"/>
    <w:next w:val="Normln"/>
    <w:autoRedefine/>
    <w:uiPriority w:val="99"/>
    <w:semiHidden/>
    <w:rsid w:val="00265FC9"/>
    <w:pPr>
      <w:ind w:left="1200"/>
    </w:pPr>
  </w:style>
  <w:style w:type="paragraph" w:styleId="Obsah7">
    <w:name w:val="toc 7"/>
    <w:basedOn w:val="Normln"/>
    <w:next w:val="Normln"/>
    <w:autoRedefine/>
    <w:uiPriority w:val="99"/>
    <w:semiHidden/>
    <w:rsid w:val="00265FC9"/>
    <w:pPr>
      <w:ind w:left="1440"/>
    </w:pPr>
  </w:style>
  <w:style w:type="paragraph" w:styleId="Obsah8">
    <w:name w:val="toc 8"/>
    <w:basedOn w:val="Normln"/>
    <w:next w:val="Normln"/>
    <w:autoRedefine/>
    <w:uiPriority w:val="99"/>
    <w:semiHidden/>
    <w:rsid w:val="00265FC9"/>
    <w:pPr>
      <w:ind w:left="1680"/>
    </w:pPr>
  </w:style>
  <w:style w:type="paragraph" w:styleId="Obsah9">
    <w:name w:val="toc 9"/>
    <w:basedOn w:val="Normln"/>
    <w:next w:val="Normln"/>
    <w:autoRedefine/>
    <w:uiPriority w:val="99"/>
    <w:semiHidden/>
    <w:rsid w:val="00265FC9"/>
    <w:pPr>
      <w:ind w:left="1920"/>
    </w:pPr>
  </w:style>
  <w:style w:type="character" w:styleId="Hypertextovodkaz">
    <w:name w:val="Hyperlink"/>
    <w:uiPriority w:val="99"/>
    <w:rsid w:val="00265FC9"/>
    <w:rPr>
      <w:color w:val="0000FF"/>
      <w:u w:val="single"/>
    </w:rPr>
  </w:style>
  <w:style w:type="paragraph" w:customStyle="1" w:styleId="TableHeading">
    <w:name w:val="Table Heading"/>
    <w:basedOn w:val="FigureHeading"/>
    <w:next w:val="MainText"/>
    <w:uiPriority w:val="99"/>
    <w:rsid w:val="00265FC9"/>
    <w:pPr>
      <w:numPr>
        <w:numId w:val="2"/>
      </w:numPr>
      <w:ind w:firstLine="0"/>
    </w:pPr>
  </w:style>
  <w:style w:type="paragraph" w:customStyle="1" w:styleId="QualitySubtitles">
    <w:name w:val="Quality Subtitles"/>
    <w:basedOn w:val="Normln"/>
    <w:uiPriority w:val="99"/>
    <w:rsid w:val="00265FC9"/>
    <w:pPr>
      <w:spacing w:line="250" w:lineRule="exact"/>
    </w:pPr>
    <w:rPr>
      <w:rFonts w:ascii="Arial" w:hAnsi="Arial" w:cs="Arial"/>
      <w:b/>
      <w:bCs/>
      <w:spacing w:val="10"/>
      <w:sz w:val="20"/>
      <w:szCs w:val="20"/>
    </w:rPr>
  </w:style>
  <w:style w:type="character" w:styleId="slostrnky">
    <w:name w:val="page number"/>
    <w:basedOn w:val="Standardnpsmoodstavce"/>
    <w:uiPriority w:val="99"/>
    <w:rsid w:val="00265FC9"/>
  </w:style>
  <w:style w:type="paragraph" w:customStyle="1" w:styleId="QualityText">
    <w:name w:val="Quality Text"/>
    <w:basedOn w:val="QualitySubtitles"/>
    <w:uiPriority w:val="99"/>
    <w:rsid w:val="00265FC9"/>
    <w:rPr>
      <w:b w:val="0"/>
      <w:bCs w:val="0"/>
    </w:rPr>
  </w:style>
  <w:style w:type="paragraph" w:customStyle="1" w:styleId="BulletText">
    <w:name w:val="Bullet Text"/>
    <w:basedOn w:val="MainText"/>
    <w:uiPriority w:val="99"/>
    <w:rsid w:val="00265FC9"/>
    <w:pPr>
      <w:numPr>
        <w:numId w:val="3"/>
      </w:numPr>
    </w:pPr>
  </w:style>
  <w:style w:type="paragraph" w:customStyle="1" w:styleId="TableText">
    <w:name w:val="Table Text"/>
    <w:basedOn w:val="Normln"/>
    <w:uiPriority w:val="99"/>
    <w:rsid w:val="00265FC9"/>
    <w:pPr>
      <w:spacing w:before="15" w:after="15"/>
      <w:ind w:left="15" w:right="15"/>
    </w:pPr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rsid w:val="00265FC9"/>
    <w:rPr>
      <w:sz w:val="2"/>
      <w:szCs w:val="2"/>
    </w:rPr>
  </w:style>
  <w:style w:type="character" w:customStyle="1" w:styleId="TextbublinyChar">
    <w:name w:val="Text bubliny Char"/>
    <w:link w:val="Textbubliny"/>
    <w:uiPriority w:val="99"/>
    <w:semiHidden/>
    <w:locked/>
    <w:rsid w:val="00075398"/>
    <w:rPr>
      <w:sz w:val="2"/>
      <w:szCs w:val="2"/>
      <w:lang w:eastAsia="en-US"/>
    </w:rPr>
  </w:style>
  <w:style w:type="paragraph" w:customStyle="1" w:styleId="Appendices">
    <w:name w:val="Appendices"/>
    <w:basedOn w:val="AppendixNo"/>
    <w:next w:val="MainText"/>
    <w:uiPriority w:val="99"/>
    <w:rsid w:val="00265FC9"/>
    <w:pPr>
      <w:numPr>
        <w:numId w:val="0"/>
      </w:numPr>
      <w:ind w:left="567"/>
    </w:pPr>
  </w:style>
  <w:style w:type="paragraph" w:customStyle="1" w:styleId="AppendixNo">
    <w:name w:val="Appendix No."/>
    <w:next w:val="MainText"/>
    <w:uiPriority w:val="99"/>
    <w:rsid w:val="00265FC9"/>
    <w:pPr>
      <w:keepNext/>
      <w:pageBreakBefore/>
      <w:numPr>
        <w:numId w:val="4"/>
      </w:numPr>
      <w:tabs>
        <w:tab w:val="left" w:pos="567"/>
      </w:tabs>
      <w:ind w:left="567" w:hanging="567"/>
    </w:pPr>
    <w:rPr>
      <w:rFonts w:ascii="Arial" w:hAnsi="Arial" w:cs="Arial"/>
      <w:b/>
      <w:bCs/>
      <w:caps/>
      <w:spacing w:val="10"/>
      <w:sz w:val="24"/>
      <w:szCs w:val="24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rsid w:val="00265FC9"/>
    <w:pPr>
      <w:tabs>
        <w:tab w:val="left" w:pos="360"/>
      </w:tabs>
      <w:ind w:left="357" w:hanging="357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075398"/>
    <w:rPr>
      <w:sz w:val="20"/>
      <w:szCs w:val="20"/>
      <w:lang w:eastAsia="en-US"/>
    </w:rPr>
  </w:style>
  <w:style w:type="character" w:styleId="Znakapoznpodarou">
    <w:name w:val="footnote reference"/>
    <w:aliases w:val="EN Footnote Reference"/>
    <w:uiPriority w:val="99"/>
    <w:semiHidden/>
    <w:rsid w:val="00265FC9"/>
    <w:rPr>
      <w:rFonts w:ascii="Arial" w:hAnsi="Arial" w:cs="Arial"/>
      <w:vertAlign w:val="superscript"/>
    </w:rPr>
  </w:style>
  <w:style w:type="paragraph" w:customStyle="1" w:styleId="TableSource">
    <w:name w:val="Table Source"/>
    <w:basedOn w:val="MainText"/>
    <w:next w:val="MainText"/>
    <w:uiPriority w:val="99"/>
    <w:rsid w:val="00265FC9"/>
    <w:pPr>
      <w:spacing w:before="60"/>
    </w:pPr>
    <w:rPr>
      <w:i/>
      <w:iCs/>
      <w:sz w:val="16"/>
      <w:szCs w:val="16"/>
    </w:rPr>
  </w:style>
  <w:style w:type="paragraph" w:styleId="Zhlav">
    <w:name w:val="header"/>
    <w:basedOn w:val="Normln"/>
    <w:link w:val="ZhlavChar"/>
    <w:uiPriority w:val="99"/>
    <w:rsid w:val="00265FC9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uiPriority w:val="99"/>
    <w:semiHidden/>
    <w:locked/>
    <w:rsid w:val="00075398"/>
    <w:rPr>
      <w:sz w:val="24"/>
      <w:szCs w:val="24"/>
      <w:lang w:eastAsia="en-US"/>
    </w:rPr>
  </w:style>
  <w:style w:type="paragraph" w:styleId="Titulek">
    <w:name w:val="caption"/>
    <w:basedOn w:val="Normln"/>
    <w:next w:val="Normln"/>
    <w:uiPriority w:val="99"/>
    <w:qFormat/>
    <w:rsid w:val="00CD2EEF"/>
    <w:rPr>
      <w:b/>
      <w:bCs/>
      <w:sz w:val="20"/>
      <w:szCs w:val="20"/>
      <w:lang w:eastAsia="cs-CZ"/>
    </w:rPr>
  </w:style>
  <w:style w:type="paragraph" w:customStyle="1" w:styleId="NumberText">
    <w:name w:val="Number Text"/>
    <w:basedOn w:val="MainText"/>
    <w:uiPriority w:val="99"/>
    <w:rsid w:val="00265FC9"/>
    <w:pPr>
      <w:numPr>
        <w:numId w:val="6"/>
      </w:numPr>
      <w:tabs>
        <w:tab w:val="left" w:pos="924"/>
      </w:tabs>
      <w:ind w:left="924" w:hanging="357"/>
    </w:pPr>
  </w:style>
  <w:style w:type="paragraph" w:styleId="Zpat">
    <w:name w:val="footer"/>
    <w:basedOn w:val="Normln"/>
    <w:link w:val="ZpatChar"/>
    <w:uiPriority w:val="99"/>
    <w:rsid w:val="002915E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2915E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7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01CBD-D58F-4A50-BDB8-BA6B8D8F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63DEF1C.dotm</Template>
  <TotalTime>17</TotalTime>
  <Pages>12</Pages>
  <Words>1687</Words>
  <Characters>11227</Characters>
  <Application>Microsoft Office Word</Application>
  <DocSecurity>0</DocSecurity>
  <Lines>93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Monitoring vládních budov - zpráva o provozu v roce 2010</vt:lpstr>
    </vt:vector>
  </TitlesOfParts>
  <Company>ENVIROS, s.r.o.</Company>
  <LinksUpToDate>false</LinksUpToDate>
  <CharactersWithSpaces>12889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vládních budov - zpráva o provozu v roce 2010</dc:title>
  <dc:subject>ENVIROS, s. r. o.</dc:subject>
  <dc:creator>Pavel Sitný</dc:creator>
  <cp:lastModifiedBy>Sedláčková Jana</cp:lastModifiedBy>
  <cp:revision>6</cp:revision>
  <cp:lastPrinted>2016-05-06T08:08:00Z</cp:lastPrinted>
  <dcterms:created xsi:type="dcterms:W3CDTF">2016-05-06T07:50:00Z</dcterms:created>
  <dcterms:modified xsi:type="dcterms:W3CDTF">2016-06-24T08:14:00Z</dcterms:modified>
</cp:coreProperties>
</file>