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081"/>
        <w:tblW w:w="9322" w:type="dxa"/>
        <w:tblLook w:val="0000" w:firstRow="0" w:lastRow="0" w:firstColumn="0" w:lastColumn="0" w:noHBand="0" w:noVBand="0"/>
      </w:tblPr>
      <w:tblGrid>
        <w:gridCol w:w="9322"/>
      </w:tblGrid>
      <w:tr w:rsidR="00296EE7" w:rsidTr="00296EE7">
        <w:trPr>
          <w:trHeight w:val="722"/>
        </w:trPr>
        <w:tc>
          <w:tcPr>
            <w:tcW w:w="9322" w:type="dxa"/>
            <w:vAlign w:val="center"/>
          </w:tcPr>
          <w:p w:rsidR="00296EE7" w:rsidRDefault="00296EE7" w:rsidP="00296EE7">
            <w:pPr>
              <w:pStyle w:val="ProposalByDate"/>
            </w:pPr>
          </w:p>
        </w:tc>
      </w:tr>
      <w:tr w:rsidR="00296EE7" w:rsidTr="00296EE7">
        <w:trPr>
          <w:trHeight w:val="722"/>
        </w:trPr>
        <w:tc>
          <w:tcPr>
            <w:tcW w:w="9322" w:type="dxa"/>
            <w:vAlign w:val="center"/>
          </w:tcPr>
          <w:p w:rsidR="00296EE7" w:rsidRDefault="00296EE7" w:rsidP="00296EE7">
            <w:pPr>
              <w:pStyle w:val="MainText"/>
              <w:ind w:left="0"/>
              <w:jc w:val="center"/>
              <w:rPr>
                <w:sz w:val="44"/>
              </w:rPr>
            </w:pPr>
          </w:p>
        </w:tc>
      </w:tr>
    </w:tbl>
    <w:p w:rsidR="00486ACB" w:rsidRDefault="00486ACB">
      <w:pPr>
        <w:pStyle w:val="Obsah1"/>
        <w:rPr>
          <w:rFonts w:ascii="Times New Roman" w:hAnsi="Times New Roman"/>
          <w:b w:val="0"/>
          <w:caps w:val="0"/>
          <w:spacing w:val="0"/>
          <w:sz w:val="24"/>
          <w:lang w:val="cs-CZ" w:eastAsia="cs-CZ"/>
        </w:rPr>
      </w:pPr>
      <w:r w:rsidRPr="00B864F7">
        <w:rPr>
          <w:b w:val="0"/>
          <w:caps w:val="0"/>
          <w:sz w:val="20"/>
          <w:lang w:val="cs-CZ"/>
        </w:rPr>
        <w:fldChar w:fldCharType="begin"/>
      </w:r>
      <w:r w:rsidRPr="00B864F7">
        <w:rPr>
          <w:b w:val="0"/>
          <w:caps w:val="0"/>
          <w:sz w:val="20"/>
          <w:lang w:val="cs-CZ"/>
        </w:rPr>
        <w:instrText xml:space="preserve"> TOC \o "1-3" \h \z </w:instrText>
      </w:r>
      <w:r w:rsidRPr="00B864F7">
        <w:rPr>
          <w:b w:val="0"/>
          <w:caps w:val="0"/>
          <w:sz w:val="20"/>
          <w:lang w:val="cs-CZ"/>
        </w:rPr>
        <w:fldChar w:fldCharType="separate"/>
      </w:r>
      <w:hyperlink w:anchor="_Toc356781700" w:history="1">
        <w:r w:rsidRPr="00646EB3">
          <w:rPr>
            <w:rStyle w:val="Hypertextovodkaz"/>
          </w:rPr>
          <w:t>1.</w:t>
        </w:r>
        <w:r>
          <w:rPr>
            <w:rFonts w:ascii="Times New Roman" w:hAnsi="Times New Roman"/>
            <w:b w:val="0"/>
            <w:caps w:val="0"/>
            <w:spacing w:val="0"/>
            <w:sz w:val="24"/>
            <w:lang w:val="cs-CZ" w:eastAsia="cs-CZ"/>
          </w:rPr>
          <w:tab/>
        </w:r>
        <w:r w:rsidRPr="00646EB3">
          <w:rPr>
            <w:rStyle w:val="Hypertextovodkaz"/>
          </w:rPr>
          <w:t>Úvod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_Toc356781700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21928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486ACB" w:rsidRDefault="005C5830">
      <w:pPr>
        <w:pStyle w:val="Obsah1"/>
        <w:rPr>
          <w:rFonts w:ascii="Times New Roman" w:hAnsi="Times New Roman"/>
          <w:b w:val="0"/>
          <w:caps w:val="0"/>
          <w:spacing w:val="0"/>
          <w:sz w:val="24"/>
          <w:lang w:val="cs-CZ" w:eastAsia="cs-CZ"/>
        </w:rPr>
      </w:pPr>
      <w:hyperlink w:anchor="_Toc356781701" w:history="1">
        <w:r w:rsidR="00486ACB" w:rsidRPr="00646EB3">
          <w:rPr>
            <w:rStyle w:val="Hypertextovodkaz"/>
          </w:rPr>
          <w:t>2.</w:t>
        </w:r>
        <w:r w:rsidR="00486ACB">
          <w:rPr>
            <w:rFonts w:ascii="Times New Roman" w:hAnsi="Times New Roman"/>
            <w:b w:val="0"/>
            <w:caps w:val="0"/>
            <w:spacing w:val="0"/>
            <w:sz w:val="24"/>
            <w:lang w:val="cs-CZ" w:eastAsia="cs-CZ"/>
          </w:rPr>
          <w:tab/>
        </w:r>
        <w:r w:rsidR="00486ACB" w:rsidRPr="00646EB3">
          <w:rPr>
            <w:rStyle w:val="Hypertextovodkaz"/>
          </w:rPr>
          <w:t>Systém monitoringu spotřeby</w:t>
        </w:r>
        <w:r w:rsidR="00486ACB">
          <w:rPr>
            <w:webHidden/>
          </w:rPr>
          <w:tab/>
        </w:r>
        <w:r w:rsidR="00486ACB">
          <w:rPr>
            <w:webHidden/>
          </w:rPr>
          <w:fldChar w:fldCharType="begin"/>
        </w:r>
        <w:r w:rsidR="00486ACB">
          <w:rPr>
            <w:webHidden/>
          </w:rPr>
          <w:instrText xml:space="preserve"> PAGEREF _Toc356781701 \h </w:instrText>
        </w:r>
        <w:r w:rsidR="00486ACB">
          <w:rPr>
            <w:webHidden/>
          </w:rPr>
        </w:r>
        <w:r w:rsidR="00486ACB">
          <w:rPr>
            <w:webHidden/>
          </w:rPr>
          <w:fldChar w:fldCharType="separate"/>
        </w:r>
        <w:r w:rsidR="00F21928">
          <w:rPr>
            <w:webHidden/>
          </w:rPr>
          <w:t>2</w:t>
        </w:r>
        <w:r w:rsidR="00486ACB">
          <w:rPr>
            <w:webHidden/>
          </w:rPr>
          <w:fldChar w:fldCharType="end"/>
        </w:r>
      </w:hyperlink>
    </w:p>
    <w:p w:rsidR="00486ACB" w:rsidRDefault="005C5830">
      <w:pPr>
        <w:pStyle w:val="Obsah2"/>
        <w:rPr>
          <w:rFonts w:ascii="Times New Roman" w:hAnsi="Times New Roman"/>
          <w:spacing w:val="0"/>
          <w:sz w:val="24"/>
          <w:szCs w:val="24"/>
          <w:lang w:val="cs-CZ" w:eastAsia="cs-CZ"/>
        </w:rPr>
      </w:pPr>
      <w:hyperlink w:anchor="_Toc356781702" w:history="1">
        <w:r w:rsidR="00486ACB" w:rsidRPr="00646EB3">
          <w:rPr>
            <w:rStyle w:val="Hypertextovodkaz"/>
          </w:rPr>
          <w:t>2.1</w:t>
        </w:r>
        <w:r w:rsidR="00486ACB">
          <w:rPr>
            <w:rFonts w:ascii="Times New Roman" w:hAnsi="Times New Roman"/>
            <w:spacing w:val="0"/>
            <w:sz w:val="24"/>
            <w:szCs w:val="24"/>
            <w:lang w:val="cs-CZ" w:eastAsia="cs-CZ"/>
          </w:rPr>
          <w:tab/>
        </w:r>
        <w:r w:rsidR="00486ACB" w:rsidRPr="00646EB3">
          <w:rPr>
            <w:rStyle w:val="Hypertextovodkaz"/>
          </w:rPr>
          <w:t>Provoz systému v roce 201</w:t>
        </w:r>
        <w:r w:rsidR="001F2130">
          <w:rPr>
            <w:rStyle w:val="Hypertextovodkaz"/>
          </w:rPr>
          <w:t>3</w:t>
        </w:r>
        <w:r w:rsidR="00486ACB">
          <w:rPr>
            <w:webHidden/>
          </w:rPr>
          <w:tab/>
        </w:r>
        <w:r w:rsidR="00486ACB">
          <w:rPr>
            <w:webHidden/>
          </w:rPr>
          <w:fldChar w:fldCharType="begin"/>
        </w:r>
        <w:r w:rsidR="00486ACB">
          <w:rPr>
            <w:webHidden/>
          </w:rPr>
          <w:instrText xml:space="preserve"> PAGEREF _Toc356781702 \h </w:instrText>
        </w:r>
        <w:r w:rsidR="00486ACB">
          <w:rPr>
            <w:webHidden/>
          </w:rPr>
        </w:r>
        <w:r w:rsidR="00486ACB">
          <w:rPr>
            <w:webHidden/>
          </w:rPr>
          <w:fldChar w:fldCharType="separate"/>
        </w:r>
        <w:r w:rsidR="00F21928">
          <w:rPr>
            <w:webHidden/>
          </w:rPr>
          <w:t>2</w:t>
        </w:r>
        <w:r w:rsidR="00486ACB">
          <w:rPr>
            <w:webHidden/>
          </w:rPr>
          <w:fldChar w:fldCharType="end"/>
        </w:r>
      </w:hyperlink>
    </w:p>
    <w:p w:rsidR="00486ACB" w:rsidRDefault="005C5830">
      <w:pPr>
        <w:pStyle w:val="Obsah1"/>
        <w:rPr>
          <w:rFonts w:ascii="Times New Roman" w:hAnsi="Times New Roman"/>
          <w:b w:val="0"/>
          <w:caps w:val="0"/>
          <w:spacing w:val="0"/>
          <w:sz w:val="24"/>
          <w:lang w:val="cs-CZ" w:eastAsia="cs-CZ"/>
        </w:rPr>
      </w:pPr>
      <w:hyperlink w:anchor="_Toc356781703" w:history="1">
        <w:r w:rsidR="00486ACB" w:rsidRPr="00646EB3">
          <w:rPr>
            <w:rStyle w:val="Hypertextovodkaz"/>
          </w:rPr>
          <w:t>3.</w:t>
        </w:r>
        <w:r w:rsidR="00486ACB">
          <w:rPr>
            <w:rFonts w:ascii="Times New Roman" w:hAnsi="Times New Roman"/>
            <w:b w:val="0"/>
            <w:caps w:val="0"/>
            <w:spacing w:val="0"/>
            <w:sz w:val="24"/>
            <w:lang w:val="cs-CZ" w:eastAsia="cs-CZ"/>
          </w:rPr>
          <w:tab/>
        </w:r>
        <w:r w:rsidR="00486ACB" w:rsidRPr="00646EB3">
          <w:rPr>
            <w:rStyle w:val="Hypertextovodkaz"/>
          </w:rPr>
          <w:t>Analýza monitorovaných dat</w:t>
        </w:r>
        <w:r w:rsidR="00486ACB">
          <w:rPr>
            <w:webHidden/>
          </w:rPr>
          <w:tab/>
        </w:r>
        <w:r w:rsidR="00486ACB">
          <w:rPr>
            <w:webHidden/>
          </w:rPr>
          <w:fldChar w:fldCharType="begin"/>
        </w:r>
        <w:r w:rsidR="00486ACB">
          <w:rPr>
            <w:webHidden/>
          </w:rPr>
          <w:instrText xml:space="preserve"> PAGEREF _Toc356781703 \h </w:instrText>
        </w:r>
        <w:r w:rsidR="00486ACB">
          <w:rPr>
            <w:webHidden/>
          </w:rPr>
        </w:r>
        <w:r w:rsidR="00486ACB">
          <w:rPr>
            <w:webHidden/>
          </w:rPr>
          <w:fldChar w:fldCharType="separate"/>
        </w:r>
        <w:r w:rsidR="00F21928">
          <w:rPr>
            <w:webHidden/>
          </w:rPr>
          <w:t>3</w:t>
        </w:r>
        <w:r w:rsidR="00486ACB">
          <w:rPr>
            <w:webHidden/>
          </w:rPr>
          <w:fldChar w:fldCharType="end"/>
        </w:r>
      </w:hyperlink>
    </w:p>
    <w:p w:rsidR="00486ACB" w:rsidRDefault="005C5830">
      <w:pPr>
        <w:pStyle w:val="Obsah2"/>
        <w:rPr>
          <w:rFonts w:ascii="Times New Roman" w:hAnsi="Times New Roman"/>
          <w:spacing w:val="0"/>
          <w:sz w:val="24"/>
          <w:szCs w:val="24"/>
          <w:lang w:val="cs-CZ" w:eastAsia="cs-CZ"/>
        </w:rPr>
      </w:pPr>
      <w:hyperlink w:anchor="_Toc356781704" w:history="1">
        <w:r w:rsidR="00486ACB" w:rsidRPr="00646EB3">
          <w:rPr>
            <w:rStyle w:val="Hypertextovodkaz"/>
          </w:rPr>
          <w:t>3.1</w:t>
        </w:r>
        <w:r w:rsidR="00486ACB">
          <w:rPr>
            <w:rFonts w:ascii="Times New Roman" w:hAnsi="Times New Roman"/>
            <w:spacing w:val="0"/>
            <w:sz w:val="24"/>
            <w:szCs w:val="24"/>
            <w:lang w:val="cs-CZ" w:eastAsia="cs-CZ"/>
          </w:rPr>
          <w:tab/>
        </w:r>
        <w:r w:rsidR="00486ACB" w:rsidRPr="00646EB3">
          <w:rPr>
            <w:rStyle w:val="Hypertextovodkaz"/>
          </w:rPr>
          <w:t>Spotřeba energie</w:t>
        </w:r>
        <w:r w:rsidR="00486ACB">
          <w:rPr>
            <w:webHidden/>
          </w:rPr>
          <w:tab/>
        </w:r>
        <w:r w:rsidR="00486ACB">
          <w:rPr>
            <w:webHidden/>
          </w:rPr>
          <w:fldChar w:fldCharType="begin"/>
        </w:r>
        <w:r w:rsidR="00486ACB">
          <w:rPr>
            <w:webHidden/>
          </w:rPr>
          <w:instrText xml:space="preserve"> PAGEREF _Toc356781704 \h </w:instrText>
        </w:r>
        <w:r w:rsidR="00486ACB">
          <w:rPr>
            <w:webHidden/>
          </w:rPr>
        </w:r>
        <w:r w:rsidR="00486ACB">
          <w:rPr>
            <w:webHidden/>
          </w:rPr>
          <w:fldChar w:fldCharType="separate"/>
        </w:r>
        <w:r w:rsidR="00F21928">
          <w:rPr>
            <w:webHidden/>
          </w:rPr>
          <w:t>3</w:t>
        </w:r>
        <w:r w:rsidR="00486ACB">
          <w:rPr>
            <w:webHidden/>
          </w:rPr>
          <w:fldChar w:fldCharType="end"/>
        </w:r>
      </w:hyperlink>
    </w:p>
    <w:p w:rsidR="00486ACB" w:rsidRDefault="005C5830">
      <w:pPr>
        <w:pStyle w:val="Obsah2"/>
        <w:rPr>
          <w:rFonts w:ascii="Times New Roman" w:hAnsi="Times New Roman"/>
          <w:spacing w:val="0"/>
          <w:sz w:val="24"/>
          <w:szCs w:val="24"/>
          <w:lang w:val="cs-CZ" w:eastAsia="cs-CZ"/>
        </w:rPr>
      </w:pPr>
      <w:hyperlink w:anchor="_Toc356781705" w:history="1">
        <w:r w:rsidR="00486ACB" w:rsidRPr="00646EB3">
          <w:rPr>
            <w:rStyle w:val="Hypertextovodkaz"/>
          </w:rPr>
          <w:t>3.2</w:t>
        </w:r>
        <w:r w:rsidR="00486ACB">
          <w:rPr>
            <w:rFonts w:ascii="Times New Roman" w:hAnsi="Times New Roman"/>
            <w:spacing w:val="0"/>
            <w:sz w:val="24"/>
            <w:szCs w:val="24"/>
            <w:lang w:val="cs-CZ" w:eastAsia="cs-CZ"/>
          </w:rPr>
          <w:tab/>
        </w:r>
        <w:r w:rsidR="00486ACB" w:rsidRPr="00646EB3">
          <w:rPr>
            <w:rStyle w:val="Hypertextovodkaz"/>
          </w:rPr>
          <w:t>Ceny energie</w:t>
        </w:r>
        <w:r w:rsidR="00486ACB">
          <w:rPr>
            <w:webHidden/>
          </w:rPr>
          <w:tab/>
        </w:r>
        <w:r w:rsidR="00486ACB">
          <w:rPr>
            <w:webHidden/>
          </w:rPr>
          <w:fldChar w:fldCharType="begin"/>
        </w:r>
        <w:r w:rsidR="00486ACB">
          <w:rPr>
            <w:webHidden/>
          </w:rPr>
          <w:instrText xml:space="preserve"> PAGEREF _Toc356781705 \h </w:instrText>
        </w:r>
        <w:r w:rsidR="00486ACB">
          <w:rPr>
            <w:webHidden/>
          </w:rPr>
        </w:r>
        <w:r w:rsidR="00486ACB">
          <w:rPr>
            <w:webHidden/>
          </w:rPr>
          <w:fldChar w:fldCharType="separate"/>
        </w:r>
        <w:r w:rsidR="00F21928">
          <w:rPr>
            <w:webHidden/>
          </w:rPr>
          <w:t>4</w:t>
        </w:r>
        <w:r w:rsidR="00486ACB">
          <w:rPr>
            <w:webHidden/>
          </w:rPr>
          <w:fldChar w:fldCharType="end"/>
        </w:r>
      </w:hyperlink>
    </w:p>
    <w:p w:rsidR="00486ACB" w:rsidRDefault="005C5830">
      <w:pPr>
        <w:pStyle w:val="Obsah2"/>
        <w:rPr>
          <w:rFonts w:ascii="Times New Roman" w:hAnsi="Times New Roman"/>
          <w:spacing w:val="0"/>
          <w:sz w:val="24"/>
          <w:szCs w:val="24"/>
          <w:lang w:val="cs-CZ" w:eastAsia="cs-CZ"/>
        </w:rPr>
      </w:pPr>
      <w:hyperlink w:anchor="_Toc356781706" w:history="1">
        <w:r w:rsidR="00486ACB" w:rsidRPr="00646EB3">
          <w:rPr>
            <w:rStyle w:val="Hypertextovodkaz"/>
          </w:rPr>
          <w:t>3.3</w:t>
        </w:r>
        <w:r w:rsidR="00486ACB">
          <w:rPr>
            <w:rFonts w:ascii="Times New Roman" w:hAnsi="Times New Roman"/>
            <w:spacing w:val="0"/>
            <w:sz w:val="24"/>
            <w:szCs w:val="24"/>
            <w:lang w:val="cs-CZ" w:eastAsia="cs-CZ"/>
          </w:rPr>
          <w:tab/>
        </w:r>
        <w:r w:rsidR="00486ACB" w:rsidRPr="00646EB3">
          <w:rPr>
            <w:rStyle w:val="Hypertextovodkaz"/>
          </w:rPr>
          <w:t>Náklady</w:t>
        </w:r>
        <w:r w:rsidR="00486ACB">
          <w:rPr>
            <w:webHidden/>
          </w:rPr>
          <w:tab/>
        </w:r>
        <w:r w:rsidR="00486ACB">
          <w:rPr>
            <w:webHidden/>
          </w:rPr>
          <w:fldChar w:fldCharType="begin"/>
        </w:r>
        <w:r w:rsidR="00486ACB">
          <w:rPr>
            <w:webHidden/>
          </w:rPr>
          <w:instrText xml:space="preserve"> PAGEREF _Toc356781706 \h </w:instrText>
        </w:r>
        <w:r w:rsidR="00486ACB">
          <w:rPr>
            <w:webHidden/>
          </w:rPr>
        </w:r>
        <w:r w:rsidR="00486ACB">
          <w:rPr>
            <w:webHidden/>
          </w:rPr>
          <w:fldChar w:fldCharType="separate"/>
        </w:r>
        <w:r w:rsidR="00F21928">
          <w:rPr>
            <w:webHidden/>
          </w:rPr>
          <w:t>4</w:t>
        </w:r>
        <w:r w:rsidR="00486ACB">
          <w:rPr>
            <w:webHidden/>
          </w:rPr>
          <w:fldChar w:fldCharType="end"/>
        </w:r>
      </w:hyperlink>
    </w:p>
    <w:p w:rsidR="00486ACB" w:rsidRDefault="005C5830">
      <w:pPr>
        <w:pStyle w:val="Obsah2"/>
        <w:rPr>
          <w:rFonts w:ascii="Times New Roman" w:hAnsi="Times New Roman"/>
          <w:spacing w:val="0"/>
          <w:sz w:val="24"/>
          <w:szCs w:val="24"/>
          <w:lang w:val="cs-CZ" w:eastAsia="cs-CZ"/>
        </w:rPr>
      </w:pPr>
      <w:hyperlink w:anchor="_Toc356781707" w:history="1">
        <w:r w:rsidR="00486ACB" w:rsidRPr="00646EB3">
          <w:rPr>
            <w:rStyle w:val="Hypertextovodkaz"/>
          </w:rPr>
          <w:t>3.4</w:t>
        </w:r>
        <w:r w:rsidR="00486ACB">
          <w:rPr>
            <w:rFonts w:ascii="Times New Roman" w:hAnsi="Times New Roman"/>
            <w:spacing w:val="0"/>
            <w:sz w:val="24"/>
            <w:szCs w:val="24"/>
            <w:lang w:val="cs-CZ" w:eastAsia="cs-CZ"/>
          </w:rPr>
          <w:tab/>
        </w:r>
        <w:r w:rsidR="00486ACB" w:rsidRPr="00646EB3">
          <w:rPr>
            <w:rStyle w:val="Hypertextovodkaz"/>
          </w:rPr>
          <w:t>Palivová základna</w:t>
        </w:r>
        <w:r w:rsidR="00486ACB">
          <w:rPr>
            <w:webHidden/>
          </w:rPr>
          <w:tab/>
        </w:r>
        <w:r w:rsidR="00486ACB">
          <w:rPr>
            <w:webHidden/>
          </w:rPr>
          <w:fldChar w:fldCharType="begin"/>
        </w:r>
        <w:r w:rsidR="00486ACB">
          <w:rPr>
            <w:webHidden/>
          </w:rPr>
          <w:instrText xml:space="preserve"> PAGEREF _Toc356781707 \h </w:instrText>
        </w:r>
        <w:r w:rsidR="00486ACB">
          <w:rPr>
            <w:webHidden/>
          </w:rPr>
        </w:r>
        <w:r w:rsidR="00486ACB">
          <w:rPr>
            <w:webHidden/>
          </w:rPr>
          <w:fldChar w:fldCharType="separate"/>
        </w:r>
        <w:r w:rsidR="00F21928">
          <w:rPr>
            <w:webHidden/>
          </w:rPr>
          <w:t>5</w:t>
        </w:r>
        <w:r w:rsidR="00486ACB">
          <w:rPr>
            <w:webHidden/>
          </w:rPr>
          <w:fldChar w:fldCharType="end"/>
        </w:r>
      </w:hyperlink>
    </w:p>
    <w:p w:rsidR="00486ACB" w:rsidRDefault="005C5830">
      <w:pPr>
        <w:pStyle w:val="Obsah2"/>
        <w:rPr>
          <w:rFonts w:ascii="Times New Roman" w:hAnsi="Times New Roman"/>
          <w:spacing w:val="0"/>
          <w:sz w:val="24"/>
          <w:szCs w:val="24"/>
          <w:lang w:val="cs-CZ" w:eastAsia="cs-CZ"/>
        </w:rPr>
      </w:pPr>
      <w:hyperlink w:anchor="_Toc356781708" w:history="1">
        <w:r w:rsidR="00486ACB" w:rsidRPr="00646EB3">
          <w:rPr>
            <w:rStyle w:val="Hypertextovodkaz"/>
          </w:rPr>
          <w:t>3.5</w:t>
        </w:r>
        <w:r w:rsidR="00486ACB">
          <w:rPr>
            <w:rFonts w:ascii="Times New Roman" w:hAnsi="Times New Roman"/>
            <w:spacing w:val="0"/>
            <w:sz w:val="24"/>
            <w:szCs w:val="24"/>
            <w:lang w:val="cs-CZ" w:eastAsia="cs-CZ"/>
          </w:rPr>
          <w:tab/>
        </w:r>
        <w:r w:rsidR="00486ACB" w:rsidRPr="00646EB3">
          <w:rPr>
            <w:rStyle w:val="Hypertextovodkaz"/>
          </w:rPr>
          <w:t>Měrné ukazatele</w:t>
        </w:r>
        <w:r w:rsidR="00486ACB">
          <w:rPr>
            <w:webHidden/>
          </w:rPr>
          <w:tab/>
        </w:r>
        <w:r w:rsidR="00486ACB">
          <w:rPr>
            <w:webHidden/>
          </w:rPr>
          <w:fldChar w:fldCharType="begin"/>
        </w:r>
        <w:r w:rsidR="00486ACB">
          <w:rPr>
            <w:webHidden/>
          </w:rPr>
          <w:instrText xml:space="preserve"> PAGEREF _Toc356781708 \h </w:instrText>
        </w:r>
        <w:r w:rsidR="00486ACB">
          <w:rPr>
            <w:webHidden/>
          </w:rPr>
        </w:r>
        <w:r w:rsidR="00486ACB">
          <w:rPr>
            <w:webHidden/>
          </w:rPr>
          <w:fldChar w:fldCharType="separate"/>
        </w:r>
        <w:r w:rsidR="00F21928">
          <w:rPr>
            <w:webHidden/>
          </w:rPr>
          <w:t>5</w:t>
        </w:r>
        <w:r w:rsidR="00486ACB">
          <w:rPr>
            <w:webHidden/>
          </w:rPr>
          <w:fldChar w:fldCharType="end"/>
        </w:r>
      </w:hyperlink>
    </w:p>
    <w:p w:rsidR="00486ACB" w:rsidRDefault="005C5830">
      <w:pPr>
        <w:pStyle w:val="Obsah1"/>
        <w:rPr>
          <w:rFonts w:ascii="Times New Roman" w:hAnsi="Times New Roman"/>
          <w:b w:val="0"/>
          <w:caps w:val="0"/>
          <w:spacing w:val="0"/>
          <w:sz w:val="24"/>
          <w:lang w:val="cs-CZ" w:eastAsia="cs-CZ"/>
        </w:rPr>
      </w:pPr>
      <w:hyperlink w:anchor="_Toc356781709" w:history="1">
        <w:r w:rsidR="00486ACB" w:rsidRPr="00646EB3">
          <w:rPr>
            <w:rStyle w:val="Hypertextovodkaz"/>
          </w:rPr>
          <w:t>4.</w:t>
        </w:r>
        <w:r w:rsidR="00486ACB">
          <w:rPr>
            <w:rFonts w:ascii="Times New Roman" w:hAnsi="Times New Roman"/>
            <w:b w:val="0"/>
            <w:caps w:val="0"/>
            <w:spacing w:val="0"/>
            <w:sz w:val="24"/>
            <w:lang w:val="cs-CZ" w:eastAsia="cs-CZ"/>
          </w:rPr>
          <w:tab/>
        </w:r>
        <w:r w:rsidR="00486ACB" w:rsidRPr="00646EB3">
          <w:rPr>
            <w:rStyle w:val="Hypertextovodkaz"/>
          </w:rPr>
          <w:t>Souhrn dosažených výsledků</w:t>
        </w:r>
        <w:r w:rsidR="00486ACB">
          <w:rPr>
            <w:webHidden/>
          </w:rPr>
          <w:tab/>
        </w:r>
        <w:r w:rsidR="00486ACB">
          <w:rPr>
            <w:webHidden/>
          </w:rPr>
          <w:fldChar w:fldCharType="begin"/>
        </w:r>
        <w:r w:rsidR="00486ACB">
          <w:rPr>
            <w:webHidden/>
          </w:rPr>
          <w:instrText xml:space="preserve"> PAGEREF _Toc356781709 \h </w:instrText>
        </w:r>
        <w:r w:rsidR="00486ACB">
          <w:rPr>
            <w:webHidden/>
          </w:rPr>
        </w:r>
        <w:r w:rsidR="00486ACB">
          <w:rPr>
            <w:webHidden/>
          </w:rPr>
          <w:fldChar w:fldCharType="separate"/>
        </w:r>
        <w:r w:rsidR="00F21928">
          <w:rPr>
            <w:webHidden/>
          </w:rPr>
          <w:t>6</w:t>
        </w:r>
        <w:r w:rsidR="00486ACB">
          <w:rPr>
            <w:webHidden/>
          </w:rPr>
          <w:fldChar w:fldCharType="end"/>
        </w:r>
      </w:hyperlink>
    </w:p>
    <w:p w:rsidR="00486ACB" w:rsidRDefault="005C5830">
      <w:pPr>
        <w:pStyle w:val="Obsah2"/>
        <w:rPr>
          <w:rFonts w:ascii="Times New Roman" w:hAnsi="Times New Roman"/>
          <w:spacing w:val="0"/>
          <w:sz w:val="24"/>
          <w:szCs w:val="24"/>
          <w:lang w:val="cs-CZ" w:eastAsia="cs-CZ"/>
        </w:rPr>
      </w:pPr>
      <w:hyperlink w:anchor="_Toc356781710" w:history="1">
        <w:r w:rsidR="00486ACB" w:rsidRPr="00646EB3">
          <w:rPr>
            <w:rStyle w:val="Hypertextovodkaz"/>
          </w:rPr>
          <w:t>4.1</w:t>
        </w:r>
        <w:r w:rsidR="00486ACB">
          <w:rPr>
            <w:rFonts w:ascii="Times New Roman" w:hAnsi="Times New Roman"/>
            <w:spacing w:val="0"/>
            <w:sz w:val="24"/>
            <w:szCs w:val="24"/>
            <w:lang w:val="cs-CZ" w:eastAsia="cs-CZ"/>
          </w:rPr>
          <w:tab/>
        </w:r>
        <w:r w:rsidR="00486ACB" w:rsidRPr="00646EB3">
          <w:rPr>
            <w:rStyle w:val="Hypertextovodkaz"/>
          </w:rPr>
          <w:t>Úsporná opatření</w:t>
        </w:r>
        <w:r w:rsidR="00486ACB">
          <w:rPr>
            <w:webHidden/>
          </w:rPr>
          <w:tab/>
        </w:r>
        <w:r w:rsidR="00486ACB">
          <w:rPr>
            <w:webHidden/>
          </w:rPr>
          <w:fldChar w:fldCharType="begin"/>
        </w:r>
        <w:r w:rsidR="00486ACB">
          <w:rPr>
            <w:webHidden/>
          </w:rPr>
          <w:instrText xml:space="preserve"> PAGEREF _Toc356781710 \h </w:instrText>
        </w:r>
        <w:r w:rsidR="00486ACB">
          <w:rPr>
            <w:webHidden/>
          </w:rPr>
        </w:r>
        <w:r w:rsidR="00486ACB">
          <w:rPr>
            <w:webHidden/>
          </w:rPr>
          <w:fldChar w:fldCharType="separate"/>
        </w:r>
        <w:r w:rsidR="00F21928">
          <w:rPr>
            <w:webHidden/>
          </w:rPr>
          <w:t>6</w:t>
        </w:r>
        <w:r w:rsidR="00486ACB">
          <w:rPr>
            <w:webHidden/>
          </w:rPr>
          <w:fldChar w:fldCharType="end"/>
        </w:r>
      </w:hyperlink>
    </w:p>
    <w:p w:rsidR="00486ACB" w:rsidRDefault="005C5830">
      <w:pPr>
        <w:pStyle w:val="Obsah1"/>
        <w:rPr>
          <w:rFonts w:ascii="Times New Roman" w:hAnsi="Times New Roman"/>
          <w:b w:val="0"/>
          <w:caps w:val="0"/>
          <w:spacing w:val="0"/>
          <w:sz w:val="24"/>
          <w:lang w:val="cs-CZ" w:eastAsia="cs-CZ"/>
        </w:rPr>
      </w:pPr>
      <w:hyperlink w:anchor="_Toc356781711" w:history="1">
        <w:r w:rsidR="00486ACB" w:rsidRPr="00646EB3">
          <w:rPr>
            <w:rStyle w:val="Hypertextovodkaz"/>
          </w:rPr>
          <w:t>5.</w:t>
        </w:r>
        <w:r w:rsidR="00486ACB">
          <w:rPr>
            <w:rFonts w:ascii="Times New Roman" w:hAnsi="Times New Roman"/>
            <w:b w:val="0"/>
            <w:caps w:val="0"/>
            <w:spacing w:val="0"/>
            <w:sz w:val="24"/>
            <w:lang w:val="cs-CZ" w:eastAsia="cs-CZ"/>
          </w:rPr>
          <w:tab/>
        </w:r>
        <w:r w:rsidR="00486ACB" w:rsidRPr="00646EB3">
          <w:rPr>
            <w:rStyle w:val="Hypertextovodkaz"/>
          </w:rPr>
          <w:t>Návrh dalšího postupu</w:t>
        </w:r>
        <w:r w:rsidR="00486ACB">
          <w:rPr>
            <w:webHidden/>
          </w:rPr>
          <w:tab/>
        </w:r>
        <w:r w:rsidR="00486ACB">
          <w:rPr>
            <w:webHidden/>
          </w:rPr>
          <w:fldChar w:fldCharType="begin"/>
        </w:r>
        <w:r w:rsidR="00486ACB">
          <w:rPr>
            <w:webHidden/>
          </w:rPr>
          <w:instrText xml:space="preserve"> PAGEREF _Toc356781711 \h </w:instrText>
        </w:r>
        <w:r w:rsidR="00486ACB">
          <w:rPr>
            <w:webHidden/>
          </w:rPr>
        </w:r>
        <w:r w:rsidR="00486ACB">
          <w:rPr>
            <w:webHidden/>
          </w:rPr>
          <w:fldChar w:fldCharType="separate"/>
        </w:r>
        <w:r w:rsidR="00F21928">
          <w:rPr>
            <w:webHidden/>
          </w:rPr>
          <w:t>8</w:t>
        </w:r>
        <w:r w:rsidR="00486ACB">
          <w:rPr>
            <w:webHidden/>
          </w:rPr>
          <w:fldChar w:fldCharType="end"/>
        </w:r>
      </w:hyperlink>
    </w:p>
    <w:p w:rsidR="00486ACB" w:rsidRDefault="005C5830">
      <w:pPr>
        <w:pStyle w:val="Obsah1"/>
        <w:rPr>
          <w:rFonts w:ascii="Times New Roman" w:hAnsi="Times New Roman"/>
          <w:b w:val="0"/>
          <w:caps w:val="0"/>
          <w:spacing w:val="0"/>
          <w:sz w:val="24"/>
          <w:lang w:val="cs-CZ" w:eastAsia="cs-CZ"/>
        </w:rPr>
      </w:pPr>
      <w:hyperlink w:anchor="_Toc356781712" w:history="1">
        <w:r w:rsidR="00486ACB" w:rsidRPr="00646EB3">
          <w:rPr>
            <w:rStyle w:val="Hypertextovodkaz"/>
          </w:rPr>
          <w:t>6.</w:t>
        </w:r>
        <w:r w:rsidR="00486ACB">
          <w:rPr>
            <w:rFonts w:ascii="Times New Roman" w:hAnsi="Times New Roman"/>
            <w:b w:val="0"/>
            <w:caps w:val="0"/>
            <w:spacing w:val="0"/>
            <w:sz w:val="24"/>
            <w:lang w:val="cs-CZ" w:eastAsia="cs-CZ"/>
          </w:rPr>
          <w:tab/>
        </w:r>
        <w:r w:rsidR="00486ACB" w:rsidRPr="00646EB3">
          <w:rPr>
            <w:rStyle w:val="Hypertextovodkaz"/>
          </w:rPr>
          <w:t>Závěr</w:t>
        </w:r>
        <w:r w:rsidR="00486ACB">
          <w:rPr>
            <w:webHidden/>
          </w:rPr>
          <w:tab/>
        </w:r>
        <w:r w:rsidR="00486ACB">
          <w:rPr>
            <w:webHidden/>
          </w:rPr>
          <w:fldChar w:fldCharType="begin"/>
        </w:r>
        <w:r w:rsidR="00486ACB">
          <w:rPr>
            <w:webHidden/>
          </w:rPr>
          <w:instrText xml:space="preserve"> PAGEREF _Toc356781712 \h </w:instrText>
        </w:r>
        <w:r w:rsidR="00486ACB">
          <w:rPr>
            <w:webHidden/>
          </w:rPr>
        </w:r>
        <w:r w:rsidR="00486ACB">
          <w:rPr>
            <w:webHidden/>
          </w:rPr>
          <w:fldChar w:fldCharType="separate"/>
        </w:r>
        <w:r w:rsidR="00F21928">
          <w:rPr>
            <w:webHidden/>
          </w:rPr>
          <w:t>9</w:t>
        </w:r>
        <w:r w:rsidR="00486ACB">
          <w:rPr>
            <w:webHidden/>
          </w:rPr>
          <w:fldChar w:fldCharType="end"/>
        </w:r>
      </w:hyperlink>
    </w:p>
    <w:p w:rsidR="00486ACB" w:rsidRDefault="00486ACB">
      <w:pPr>
        <w:rPr>
          <w:rFonts w:ascii="Arial" w:hAnsi="Arial"/>
          <w:b/>
          <w:caps/>
          <w:noProof/>
          <w:spacing w:val="10"/>
          <w:sz w:val="20"/>
        </w:rPr>
      </w:pPr>
      <w:r w:rsidRPr="00B864F7">
        <w:rPr>
          <w:b/>
          <w:caps/>
          <w:sz w:val="20"/>
        </w:rPr>
        <w:fldChar w:fldCharType="end"/>
      </w:r>
    </w:p>
    <w:p w:rsidR="00486ACB" w:rsidRDefault="00486ACB">
      <w:pPr>
        <w:rPr>
          <w:rFonts w:ascii="Arial" w:hAnsi="Arial"/>
          <w:b/>
          <w:caps/>
          <w:noProof/>
          <w:spacing w:val="10"/>
          <w:sz w:val="20"/>
        </w:rPr>
      </w:pPr>
    </w:p>
    <w:p w:rsidR="00486ACB" w:rsidRDefault="00486ACB">
      <w:pPr>
        <w:sectPr w:rsidR="00486ACB" w:rsidSect="00000ECA">
          <w:footerReference w:type="default" r:id="rId9"/>
          <w:headerReference w:type="first" r:id="rId10"/>
          <w:footerReference w:type="first" r:id="rId11"/>
          <w:pgSz w:w="11906" w:h="16838" w:code="9"/>
          <w:pgMar w:top="2517" w:right="1395" w:bottom="1140" w:left="1695" w:header="709" w:footer="0" w:gutter="0"/>
          <w:cols w:space="708"/>
          <w:titlePg/>
          <w:docGrid w:linePitch="360"/>
        </w:sectPr>
      </w:pPr>
    </w:p>
    <w:p w:rsidR="00486ACB" w:rsidRPr="008464AA" w:rsidRDefault="00486ACB" w:rsidP="007D3406">
      <w:pPr>
        <w:pStyle w:val="Nadpis1"/>
        <w:spacing w:after="200"/>
        <w:ind w:left="0" w:firstLine="1134"/>
      </w:pPr>
      <w:bookmarkStart w:id="0" w:name="_Toc356781700"/>
      <w:r w:rsidRPr="008464AA">
        <w:lastRenderedPageBreak/>
        <w:t>Úvod</w:t>
      </w:r>
      <w:bookmarkEnd w:id="0"/>
    </w:p>
    <w:p w:rsidR="00486ACB" w:rsidRDefault="00486ACB" w:rsidP="007D3406">
      <w:pPr>
        <w:spacing w:after="200"/>
        <w:ind w:left="142"/>
        <w:jc w:val="both"/>
      </w:pPr>
      <w:r>
        <w:t>Systém monitorování spotřeby energie vybraných vládních objektů je základním nástrojem pro práci meziresortní pracovní skupiny vytvořené na základě Usnesení vlády České Republiky ze dne 22. srpna 2007 č. 925</w:t>
      </w:r>
      <w:r>
        <w:rPr>
          <w:rStyle w:val="Znakapoznpodarou"/>
        </w:rPr>
        <w:footnoteReference w:id="1"/>
      </w:r>
      <w:r>
        <w:t>.</w:t>
      </w:r>
    </w:p>
    <w:p w:rsidR="00486ACB" w:rsidRDefault="00D27720" w:rsidP="007D3406">
      <w:pPr>
        <w:spacing w:after="200"/>
        <w:ind w:left="142"/>
        <w:jc w:val="both"/>
      </w:pPr>
      <w:r>
        <w:t>V březnu 2014 proběhlo</w:t>
      </w:r>
      <w:r w:rsidR="00486ACB" w:rsidRPr="005D5C1E">
        <w:t xml:space="preserve"> v</w:t>
      </w:r>
      <w:r w:rsidR="00486ACB">
        <w:t> </w:t>
      </w:r>
      <w:r w:rsidR="00486ACB" w:rsidRPr="005D5C1E">
        <w:t>pořadí</w:t>
      </w:r>
      <w:r w:rsidR="00486ACB">
        <w:t xml:space="preserve"> již</w:t>
      </w:r>
      <w:r w:rsidR="00486ACB" w:rsidRPr="005D5C1E">
        <w:t xml:space="preserve"> </w:t>
      </w:r>
      <w:r>
        <w:t>sedmé</w:t>
      </w:r>
      <w:r w:rsidR="00486ACB" w:rsidRPr="005D5C1E">
        <w:t xml:space="preserve"> zasedán</w:t>
      </w:r>
      <w:r>
        <w:t>í meziresortní pracovní skupiny. Přítomní zástupci resortů byli seznámeni s výsledky</w:t>
      </w:r>
      <w:r w:rsidR="00486ACB" w:rsidRPr="005D5C1E">
        <w:t xml:space="preserve"> provozu systému</w:t>
      </w:r>
      <w:r w:rsidR="00486ACB">
        <w:t xml:space="preserve"> v oblasti úspor energie</w:t>
      </w:r>
      <w:r>
        <w:t xml:space="preserve"> dosaženými v uplynulém roce 2013. Na jednání byly prezentovány výsledky analýzy</w:t>
      </w:r>
      <w:r w:rsidR="00486ACB">
        <w:t xml:space="preserve"> </w:t>
      </w:r>
      <w:r>
        <w:t>dat monitorovaných na vybraných objektech jednotlivých resortů. Analýza byla zaměřena na trendy spotřeby energie a s tím spojených nákladů.</w:t>
      </w:r>
      <w:r w:rsidR="00486ACB">
        <w:t xml:space="preserve"> </w:t>
      </w:r>
      <w:r>
        <w:t>Účastníci zasedání byli zároveň seznámeni s</w:t>
      </w:r>
      <w:r w:rsidR="00CD7A11">
        <w:t xml:space="preserve"> plánovaným postupem implementace článku 5 směrnice o </w:t>
      </w:r>
      <w:r w:rsidR="00CD7583">
        <w:t>energetické účinnosti 2012/27/EU týkající se příkladné úlohy budov veřejných subjektů.</w:t>
      </w:r>
    </w:p>
    <w:p w:rsidR="00486ACB" w:rsidRDefault="00CD7583" w:rsidP="007D3406">
      <w:pPr>
        <w:spacing w:after="200"/>
        <w:ind w:left="142"/>
        <w:jc w:val="both"/>
      </w:pPr>
      <w:r>
        <w:t>V roce 2013</w:t>
      </w:r>
      <w:r w:rsidR="00486ACB">
        <w:t xml:space="preserve"> administrátor systému ve spolupráci se zástupci resortů prováděl standardní činnosti monitorování a vyhodnocování údajů energetické efektivnosti sledovaných objekt</w:t>
      </w:r>
      <w:r w:rsidR="002766D5">
        <w:t xml:space="preserve">ů. </w:t>
      </w:r>
      <w:r w:rsidR="002766D5" w:rsidRPr="002766D5">
        <w:rPr>
          <w:b/>
        </w:rPr>
        <w:t>V roce 2013 se podařilo resortům na souboru sledovaných objektů ve</w:t>
      </w:r>
      <w:r w:rsidR="00B53852">
        <w:rPr>
          <w:b/>
        </w:rPr>
        <w:t> </w:t>
      </w:r>
      <w:r w:rsidR="002766D5" w:rsidRPr="002766D5">
        <w:rPr>
          <w:b/>
        </w:rPr>
        <w:t>srovnání s výsledky roku 2009 dosáhnout úspory ve výši 11,6</w:t>
      </w:r>
      <w:r w:rsidR="002766D5">
        <w:rPr>
          <w:b/>
        </w:rPr>
        <w:t> </w:t>
      </w:r>
      <w:r w:rsidR="002766D5" w:rsidRPr="002766D5">
        <w:rPr>
          <w:b/>
        </w:rPr>
        <w:t>mil. Kč</w:t>
      </w:r>
      <w:r w:rsidR="002766D5">
        <w:t>.</w:t>
      </w:r>
      <w:r w:rsidR="002766D5" w:rsidRPr="002766D5">
        <w:t xml:space="preserve"> </w:t>
      </w:r>
      <w:r>
        <w:t>Výsledky projektu dosažené v roce 2013</w:t>
      </w:r>
      <w:r w:rsidR="00486ACB">
        <w:t xml:space="preserve"> jsou detailněji rozebrány v následujících kapitolách.</w:t>
      </w:r>
    </w:p>
    <w:p w:rsidR="00DE6F3B" w:rsidRDefault="00486ACB" w:rsidP="007D3406">
      <w:pPr>
        <w:spacing w:after="200"/>
        <w:ind w:left="142"/>
        <w:jc w:val="both"/>
      </w:pPr>
      <w:r>
        <w:t>Tato zpráva shrnuje základní informa</w:t>
      </w:r>
      <w:r w:rsidR="00CD7583">
        <w:t>ce o provozu systému v roce 2013</w:t>
      </w:r>
      <w:r>
        <w:t xml:space="preserve"> a v závěru </w:t>
      </w:r>
      <w:r w:rsidR="00DE6F3B">
        <w:t>se věnuje</w:t>
      </w:r>
      <w:r>
        <w:t xml:space="preserve"> </w:t>
      </w:r>
      <w:r w:rsidR="00DE6F3B">
        <w:t>rozvoji systému v oblastech efektivního energetického managementu a naplnění požadavků směrnice o energetické účinnosti budov veřejných subjektů.</w:t>
      </w:r>
    </w:p>
    <w:p w:rsidR="00B53852" w:rsidRDefault="00B53852" w:rsidP="007D3406">
      <w:pPr>
        <w:tabs>
          <w:tab w:val="left" w:pos="426"/>
          <w:tab w:val="left" w:pos="709"/>
        </w:tabs>
        <w:spacing w:after="200"/>
        <w:ind w:left="0"/>
        <w:jc w:val="both"/>
      </w:pPr>
    </w:p>
    <w:p w:rsidR="00486ACB" w:rsidRPr="008464AA" w:rsidRDefault="00486ACB" w:rsidP="007D3406">
      <w:pPr>
        <w:pStyle w:val="Nadpis1"/>
        <w:pageBreakBefore w:val="0"/>
        <w:spacing w:after="200"/>
      </w:pPr>
      <w:bookmarkStart w:id="1" w:name="_Toc356781701"/>
      <w:r w:rsidRPr="008464AA">
        <w:t>Systém monitoringu spotřeb</w:t>
      </w:r>
      <w:r>
        <w:t>y</w:t>
      </w:r>
      <w:bookmarkEnd w:id="1"/>
    </w:p>
    <w:p w:rsidR="00486ACB" w:rsidRDefault="00486ACB" w:rsidP="007D3406">
      <w:pPr>
        <w:pStyle w:val="Nadpis2"/>
        <w:spacing w:before="0" w:after="200"/>
      </w:pPr>
      <w:bookmarkStart w:id="2" w:name="_Toc356781702"/>
      <w:r>
        <w:t>Provoz systému v roce 201</w:t>
      </w:r>
      <w:bookmarkEnd w:id="2"/>
      <w:r w:rsidR="00030EE5">
        <w:t>3</w:t>
      </w:r>
    </w:p>
    <w:p w:rsidR="00030EE5" w:rsidRDefault="00486ACB" w:rsidP="007D3406">
      <w:pPr>
        <w:spacing w:after="200"/>
        <w:ind w:left="142"/>
        <w:jc w:val="both"/>
      </w:pPr>
      <w:r>
        <w:t>Provoz systému monitorování spotřeby energie vládních budov</w:t>
      </w:r>
      <w:r w:rsidR="00030EE5">
        <w:t xml:space="preserve"> byl v roce 2013</w:t>
      </w:r>
      <w:r>
        <w:t xml:space="preserve"> ustálený a</w:t>
      </w:r>
      <w:r w:rsidR="00B53852">
        <w:t> </w:t>
      </w:r>
      <w:r>
        <w:t xml:space="preserve">bez problémů. Správci objektů poskytují od </w:t>
      </w:r>
      <w:r w:rsidR="00DE6F3B">
        <w:t>roku</w:t>
      </w:r>
      <w:r>
        <w:t xml:space="preserve"> 20</w:t>
      </w:r>
      <w:r w:rsidR="00030EE5">
        <w:t>09 správci systému v měsíčních</w:t>
      </w:r>
      <w:r w:rsidR="007D3406">
        <w:t>/</w:t>
      </w:r>
      <w:r w:rsidR="00030EE5">
        <w:t xml:space="preserve"> </w:t>
      </w:r>
      <w:r>
        <w:t xml:space="preserve">ročních intervalech celkové údaje o spotřebě jednotlivých energonositelů </w:t>
      </w:r>
      <w:r w:rsidR="00C00C74">
        <w:t>v</w:t>
      </w:r>
      <w:r w:rsidR="00B53852">
        <w:t> </w:t>
      </w:r>
      <w:r w:rsidR="00C00C74">
        <w:t xml:space="preserve">objektech. Zároveň </w:t>
      </w:r>
      <w:r>
        <w:t xml:space="preserve">jsou </w:t>
      </w:r>
      <w:r w:rsidR="00C00C74">
        <w:t>s frekvencí odpovídající fakturaci monitorovány náklady na</w:t>
      </w:r>
      <w:r w:rsidR="00B53852">
        <w:t> </w:t>
      </w:r>
      <w:r w:rsidR="00C00C74">
        <w:t>nákup energie.</w:t>
      </w:r>
      <w:r w:rsidR="007D3406">
        <w:t xml:space="preserve"> </w:t>
      </w:r>
      <w:r w:rsidR="00030EE5">
        <w:t xml:space="preserve">V průběhu </w:t>
      </w:r>
      <w:r w:rsidR="00C00C74">
        <w:t xml:space="preserve">minulého </w:t>
      </w:r>
      <w:r w:rsidR="00030EE5">
        <w:t xml:space="preserve">roku nedošlo v souboru sledovaných objektů k žádným zásadním změnám. V roce 2013 bylo </w:t>
      </w:r>
      <w:r w:rsidR="00030EE5" w:rsidRPr="00CF4EEC">
        <w:rPr>
          <w:b/>
        </w:rPr>
        <w:t>na 50 vybraných objektech</w:t>
      </w:r>
      <w:r w:rsidR="00030EE5">
        <w:t xml:space="preserve"> napříč všemi resorty a Úřadem vlády ČR monitorováno celkem 88 toků energie.</w:t>
      </w:r>
      <w:r w:rsidR="004A7FE9">
        <w:t xml:space="preserve"> Celková energeticky vztažná plocha monitorovaných objektů činí cca. 641 tis. m</w:t>
      </w:r>
      <w:r w:rsidR="004A7FE9" w:rsidRPr="004A7FE9">
        <w:rPr>
          <w:vertAlign w:val="superscript"/>
        </w:rPr>
        <w:t>2</w:t>
      </w:r>
      <w:r w:rsidR="004A7FE9">
        <w:t>.</w:t>
      </w:r>
    </w:p>
    <w:tbl>
      <w:tblPr>
        <w:tblW w:w="893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964"/>
        <w:gridCol w:w="729"/>
        <w:gridCol w:w="1985"/>
        <w:gridCol w:w="708"/>
        <w:gridCol w:w="2268"/>
      </w:tblGrid>
      <w:tr w:rsidR="007D3406" w:rsidRPr="007D3406" w:rsidTr="007D3406">
        <w:trPr>
          <w:trHeight w:val="53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D3406" w:rsidRPr="007D3406" w:rsidRDefault="007D3406" w:rsidP="007D3406">
            <w:pPr>
              <w:spacing w:after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D34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cs-CZ"/>
              </w:rPr>
              <w:t>Resort</w:t>
            </w:r>
          </w:p>
        </w:tc>
        <w:tc>
          <w:tcPr>
            <w:tcW w:w="1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D3406" w:rsidRPr="007D3406" w:rsidRDefault="007D3406" w:rsidP="007D3406">
            <w:pPr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D34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cs-CZ"/>
              </w:rPr>
              <w:t>Počet monitorovaných objektů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D3406" w:rsidRPr="007D3406" w:rsidRDefault="007D3406" w:rsidP="007D3406">
            <w:pPr>
              <w:spacing w:after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D34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cs-CZ"/>
              </w:rPr>
              <w:t>Resort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D3406" w:rsidRPr="007D3406" w:rsidRDefault="007D3406" w:rsidP="007D3406">
            <w:pPr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D34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cs-CZ"/>
              </w:rPr>
              <w:t>Počet monitorovaných objektů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D3406" w:rsidRPr="007D3406" w:rsidRDefault="007D3406" w:rsidP="007D3406">
            <w:pPr>
              <w:spacing w:after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D34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cs-CZ"/>
              </w:rPr>
              <w:t>Resort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7D3406" w:rsidRPr="007D3406" w:rsidRDefault="007D3406" w:rsidP="007D3406">
            <w:pPr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D340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cs-CZ"/>
              </w:rPr>
              <w:t>Počet monitorovaných objektů</w:t>
            </w:r>
          </w:p>
        </w:tc>
      </w:tr>
      <w:tr w:rsidR="007D3406" w:rsidRPr="007D3406" w:rsidTr="007D3406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7D3406" w:rsidRPr="007D3406" w:rsidRDefault="007D3406" w:rsidP="007D3406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340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MD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7D3406" w:rsidRPr="007D3406" w:rsidRDefault="007D3406" w:rsidP="007D3406">
            <w:pPr>
              <w:spacing w:after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340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7D3406" w:rsidRPr="007D3406" w:rsidRDefault="007D3406" w:rsidP="007D3406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340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MPO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7D3406" w:rsidRPr="007D3406" w:rsidRDefault="007D3406" w:rsidP="007D3406">
            <w:pPr>
              <w:spacing w:after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340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7D3406" w:rsidRPr="007D3406" w:rsidRDefault="007D3406" w:rsidP="007D3406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340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MZ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7D3406" w:rsidRPr="007D3406" w:rsidRDefault="007D3406" w:rsidP="007D3406">
            <w:pPr>
              <w:spacing w:after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340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1</w:t>
            </w:r>
          </w:p>
        </w:tc>
      </w:tr>
      <w:tr w:rsidR="007D3406" w:rsidRPr="007D3406" w:rsidTr="007D3406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7D3406" w:rsidRPr="007D3406" w:rsidRDefault="007D3406" w:rsidP="007D3406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340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MF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7D3406" w:rsidRPr="007D3406" w:rsidRDefault="007D3406" w:rsidP="007D3406">
            <w:pPr>
              <w:spacing w:after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340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7D3406" w:rsidRPr="007D3406" w:rsidRDefault="007D3406" w:rsidP="007D3406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340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MPSV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7D3406" w:rsidRPr="007D3406" w:rsidRDefault="007D3406" w:rsidP="007D3406">
            <w:pPr>
              <w:spacing w:after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340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7D3406" w:rsidRPr="007D3406" w:rsidRDefault="007D3406" w:rsidP="007D3406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340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MZe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7D3406" w:rsidRPr="007D3406" w:rsidRDefault="007D3406" w:rsidP="007D3406">
            <w:pPr>
              <w:spacing w:after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340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3</w:t>
            </w:r>
          </w:p>
        </w:tc>
      </w:tr>
      <w:tr w:rsidR="007D3406" w:rsidRPr="007D3406" w:rsidTr="007D3406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7D3406" w:rsidRPr="007D3406" w:rsidRDefault="007D3406" w:rsidP="007D3406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340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MK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7D3406" w:rsidRPr="007D3406" w:rsidRDefault="007D3406" w:rsidP="007D3406">
            <w:pPr>
              <w:spacing w:after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340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7D3406" w:rsidRPr="007D3406" w:rsidRDefault="007D3406" w:rsidP="007D3406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340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MŠMT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7D3406" w:rsidRPr="007D3406" w:rsidRDefault="007D3406" w:rsidP="007D3406">
            <w:pPr>
              <w:spacing w:after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340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7D3406" w:rsidRPr="007D3406" w:rsidRDefault="007D3406" w:rsidP="007D3406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340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MŽP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7D3406" w:rsidRPr="007D3406" w:rsidRDefault="007D3406" w:rsidP="007D3406">
            <w:pPr>
              <w:spacing w:after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340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1</w:t>
            </w:r>
          </w:p>
        </w:tc>
      </w:tr>
      <w:tr w:rsidR="007D3406" w:rsidRPr="007D3406" w:rsidTr="007D3406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7D3406" w:rsidRPr="007D3406" w:rsidRDefault="007D3406" w:rsidP="007D3406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340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MMR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7D3406" w:rsidRPr="007D3406" w:rsidRDefault="007D3406" w:rsidP="007D3406">
            <w:pPr>
              <w:spacing w:after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340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7D3406" w:rsidRPr="007D3406" w:rsidRDefault="007D3406" w:rsidP="007D3406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340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MSp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7D3406" w:rsidRPr="007D3406" w:rsidRDefault="007D3406" w:rsidP="007D3406">
            <w:pPr>
              <w:spacing w:after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340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7D3406" w:rsidRPr="007D3406" w:rsidRDefault="007D3406" w:rsidP="007D3406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340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MZV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7D3406" w:rsidRPr="007D3406" w:rsidRDefault="007D3406" w:rsidP="007D3406">
            <w:pPr>
              <w:spacing w:after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340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4</w:t>
            </w:r>
          </w:p>
        </w:tc>
      </w:tr>
      <w:tr w:rsidR="007D3406" w:rsidRPr="007D3406" w:rsidTr="007D3406">
        <w:trPr>
          <w:trHeight w:val="323"/>
        </w:trPr>
        <w:tc>
          <w:tcPr>
            <w:tcW w:w="1276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7D3406" w:rsidRPr="007D3406" w:rsidRDefault="007D3406" w:rsidP="007D3406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340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MO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7D3406" w:rsidRPr="007D3406" w:rsidRDefault="007D3406" w:rsidP="007D3406">
            <w:pPr>
              <w:spacing w:after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340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7D3406" w:rsidRPr="007D3406" w:rsidRDefault="007D3406" w:rsidP="007D3406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340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MV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7D3406" w:rsidRPr="007D3406" w:rsidRDefault="007D3406" w:rsidP="007D3406">
            <w:pPr>
              <w:spacing w:after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340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7D3406" w:rsidRPr="007D3406" w:rsidRDefault="007D3406" w:rsidP="007D3406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340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ÚV ČR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7D3406" w:rsidRPr="007D3406" w:rsidRDefault="007D3406" w:rsidP="007D3406">
            <w:pPr>
              <w:spacing w:after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340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8</w:t>
            </w:r>
          </w:p>
        </w:tc>
      </w:tr>
    </w:tbl>
    <w:p w:rsidR="007D3406" w:rsidRDefault="007D3406" w:rsidP="007D3406">
      <w:pPr>
        <w:pStyle w:val="Titulek"/>
        <w:spacing w:after="0"/>
      </w:pPr>
    </w:p>
    <w:p w:rsidR="004A7FE9" w:rsidRDefault="004A7FE9" w:rsidP="007D3406">
      <w:pPr>
        <w:pStyle w:val="Titulek"/>
        <w:spacing w:after="0"/>
      </w:pPr>
      <w:r>
        <w:t xml:space="preserve">Tabulka </w:t>
      </w:r>
      <w:r w:rsidR="005C5830">
        <w:fldChar w:fldCharType="begin"/>
      </w:r>
      <w:r w:rsidR="005C5830">
        <w:instrText xml:space="preserve"> SEQ Tabulka \* ARABIC </w:instrText>
      </w:r>
      <w:r w:rsidR="005C5830">
        <w:fldChar w:fldCharType="separate"/>
      </w:r>
      <w:r w:rsidR="00000ECA">
        <w:rPr>
          <w:noProof/>
        </w:rPr>
        <w:t>1</w:t>
      </w:r>
      <w:r w:rsidR="005C5830">
        <w:rPr>
          <w:noProof/>
        </w:rPr>
        <w:fldChar w:fldCharType="end"/>
      </w:r>
      <w:r>
        <w:t xml:space="preserve"> – Počty monitorovaných budov jednotlivých resortů</w:t>
      </w:r>
    </w:p>
    <w:p w:rsidR="007D3406" w:rsidRDefault="007D3406" w:rsidP="007D3406">
      <w:pPr>
        <w:spacing w:after="200"/>
        <w:ind w:left="142"/>
        <w:jc w:val="both"/>
      </w:pPr>
      <w:r>
        <w:lastRenderedPageBreak/>
        <w:t>Dnes tak je k dispozici již pětiletá řada historických údajů pro všechny monitorované objekty. Zkušenosti nabyté provozováním systému na vybraném vzorku budov a existence koordinované meziresortní pracovní skupiny významně pomáhají při přípravě implementace požadavků kladených na veřejné instituce v souvislosti se směrnicí o energetické účinnosti.</w:t>
      </w:r>
    </w:p>
    <w:p w:rsidR="00486ACB" w:rsidRDefault="00486ACB" w:rsidP="007D3406">
      <w:pPr>
        <w:spacing w:after="200"/>
        <w:ind w:left="142"/>
        <w:jc w:val="both"/>
      </w:pPr>
      <w:r>
        <w:t xml:space="preserve">Správce systému zajišťuje </w:t>
      </w:r>
      <w:r w:rsidR="00C00C74">
        <w:t xml:space="preserve">v průběhu roku administraci webového portálu pro sběr relevantních informací o objektech, </w:t>
      </w:r>
      <w:r>
        <w:t>kontrolu úplnosti a správnosti poskytovaných dat, upozorňuje na zjištěné nesrovnalosti a pomáhá při jejich vysvětlování a odstraňování.</w:t>
      </w:r>
    </w:p>
    <w:p w:rsidR="00486ACB" w:rsidRDefault="00C00C74" w:rsidP="007D3406">
      <w:pPr>
        <w:spacing w:after="200"/>
        <w:ind w:left="142"/>
        <w:jc w:val="both"/>
      </w:pPr>
      <w:r>
        <w:t>Správce systému udržoval v roce 2013 prostřednictvím zástupců MPO kontakt s Úřadem pro zastupová</w:t>
      </w:r>
      <w:r w:rsidR="00684102">
        <w:t>ní státu ve věcech majetkových. V rámci spolupráce s Úřadem se správce seznámil se strukturou informací evidovaných v Centrálním registru administrativních budov a</w:t>
      </w:r>
      <w:r w:rsidR="007D3406">
        <w:t> </w:t>
      </w:r>
      <w:r w:rsidR="00684102">
        <w:t>podílel se na analýze kvality a míry naplněnosti systému po v oblasti energetické popisné statistiky. V návaznosti na tyto aktivity je v plánu úprava rozsahu sledovaných ukazatelů, na</w:t>
      </w:r>
      <w:r w:rsidR="007D3406">
        <w:t> </w:t>
      </w:r>
      <w:r w:rsidR="00684102">
        <w:t>které se správce také podílí.</w:t>
      </w:r>
    </w:p>
    <w:p w:rsidR="007D3406" w:rsidRDefault="007D3406" w:rsidP="007D3406">
      <w:pPr>
        <w:spacing w:after="200"/>
        <w:ind w:left="142"/>
        <w:jc w:val="both"/>
      </w:pPr>
    </w:p>
    <w:p w:rsidR="00486ACB" w:rsidRDefault="00486ACB" w:rsidP="007D3406">
      <w:pPr>
        <w:pStyle w:val="Nadpis1"/>
        <w:pageBreakBefore w:val="0"/>
        <w:spacing w:after="200"/>
      </w:pPr>
      <w:bookmarkStart w:id="3" w:name="_Toc356781703"/>
      <w:r w:rsidRPr="00C01596">
        <w:t>Analýza monitorovaných dat</w:t>
      </w:r>
      <w:bookmarkEnd w:id="3"/>
    </w:p>
    <w:p w:rsidR="00486ACB" w:rsidRDefault="00684102" w:rsidP="007D3406">
      <w:pPr>
        <w:spacing w:after="200"/>
        <w:ind w:left="142"/>
        <w:jc w:val="both"/>
      </w:pPr>
      <w:r>
        <w:t>V průběhu roku 2013</w:t>
      </w:r>
      <w:r w:rsidR="00486ACB">
        <w:t xml:space="preserve"> se soubor monitorovaných objektů nezměnil, nedošlo ani k zásadním změnám ve způsobu zásobování objektů energií. Některé objekty v průběhu roku prošly částečnou rekonstrukcí nebo byla na technickém zařízení budov realizována úsporná opatření.</w:t>
      </w:r>
    </w:p>
    <w:p w:rsidR="00486ACB" w:rsidRDefault="00486ACB" w:rsidP="007D3406">
      <w:pPr>
        <w:pStyle w:val="Nadpis2"/>
        <w:spacing w:before="0" w:after="200"/>
      </w:pPr>
      <w:bookmarkStart w:id="4" w:name="_Toc356781704"/>
      <w:r w:rsidRPr="00C01596">
        <w:t>Spotřeba energie</w:t>
      </w:r>
      <w:bookmarkEnd w:id="4"/>
    </w:p>
    <w:p w:rsidR="00486ACB" w:rsidRDefault="00486ACB" w:rsidP="007D3406">
      <w:pPr>
        <w:spacing w:after="200"/>
        <w:ind w:left="142"/>
        <w:jc w:val="both"/>
      </w:pPr>
      <w:r>
        <w:t>Graf 1 znázorňuje celkovou roční spotřebu energie všech sledovaných energonositelů na</w:t>
      </w:r>
      <w:r w:rsidR="007D3406">
        <w:t> </w:t>
      </w:r>
      <w:r>
        <w:t>všech monitorovaných</w:t>
      </w:r>
      <w:r w:rsidR="005F4830">
        <w:t xml:space="preserve"> objektech v letech 2009 až 2013</w:t>
      </w:r>
      <w:r>
        <w:t>.</w:t>
      </w:r>
    </w:p>
    <w:p w:rsidR="00B53852" w:rsidRDefault="00B53852" w:rsidP="007D3406">
      <w:pPr>
        <w:spacing w:after="200"/>
        <w:ind w:left="142"/>
        <w:jc w:val="both"/>
      </w:pPr>
      <w:r>
        <w:t xml:space="preserve">Celková spotřeba energie monitorovaných budov činila v roce 2013 133 GWh. Meziročně se tak spotřeba zvýšila o 5,5%, což velmi těsně koreluje s vývojem klimatických podmínek minulého roku, kdy byl roční ukazatel denostupňů o 5,3% vyšší než v roce 2012. Tato skutečnost potvrzuje malou míru rekonstrukcí realizovaných na monitorovaných objektech v uplynulém roce, kdy zejména zástupci silových resortů, které jsou i v portofliu sledovaného vzorku velmi významnými hráči, zdůrazňují dlouhodobý nedostatek finančních prostředků pro péči o spravovaný majetek </w:t>
      </w:r>
    </w:p>
    <w:p w:rsidR="00486ACB" w:rsidRPr="00113ADE" w:rsidRDefault="005C5830" w:rsidP="007D3406">
      <w:pPr>
        <w:tabs>
          <w:tab w:val="left" w:pos="8789"/>
        </w:tabs>
        <w:ind w:left="0" w:right="141" w:hanging="426"/>
      </w:pPr>
      <w:r>
        <w:pict w14:anchorId="382C5A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191.25pt;mso-left-percent:-10001;mso-top-percent:-10001;mso-position-horizontal:absolute;mso-position-horizontal-relative:char;mso-position-vertical:absolute;mso-position-vertical-relative:line;mso-left-percent:-10001;mso-top-percent:-10001">
            <v:imagedata r:id="rId12" o:title=""/>
          </v:shape>
        </w:pict>
      </w:r>
    </w:p>
    <w:p w:rsidR="00486ACB" w:rsidRDefault="00486ACB" w:rsidP="00B53852">
      <w:pPr>
        <w:pStyle w:val="Titulek"/>
        <w:ind w:left="142"/>
      </w:pPr>
      <w:r>
        <w:t xml:space="preserve">Graf </w:t>
      </w:r>
      <w:r w:rsidR="005C5830">
        <w:fldChar w:fldCharType="begin"/>
      </w:r>
      <w:r w:rsidR="005C5830">
        <w:instrText xml:space="preserve"> SEQ Graf \* ARABIC </w:instrText>
      </w:r>
      <w:r w:rsidR="005C5830">
        <w:fldChar w:fldCharType="separate"/>
      </w:r>
      <w:r w:rsidR="00000ECA">
        <w:rPr>
          <w:noProof/>
        </w:rPr>
        <w:t>1</w:t>
      </w:r>
      <w:r w:rsidR="005C5830">
        <w:rPr>
          <w:noProof/>
        </w:rPr>
        <w:fldChar w:fldCharType="end"/>
      </w:r>
      <w:r>
        <w:t xml:space="preserve"> – Trend celkové spotřeby energie sledovaného soub</w:t>
      </w:r>
      <w:r w:rsidR="009C2C8E">
        <w:t>oru objektů v letech 2009 – 2013</w:t>
      </w:r>
    </w:p>
    <w:p w:rsidR="00486ACB" w:rsidRDefault="00486ACB" w:rsidP="00B53852">
      <w:pPr>
        <w:ind w:left="142"/>
        <w:jc w:val="both"/>
      </w:pPr>
      <w:r>
        <w:t xml:space="preserve">Na spotřebu energie má zásadní vliv venkovní teplota, což potvrzuje </w:t>
      </w:r>
      <w:r w:rsidR="00C965F8">
        <w:fldChar w:fldCharType="begin"/>
      </w:r>
      <w:r w:rsidR="00C965F8">
        <w:instrText xml:space="preserve"> REF _Ref291572563 \h  \* MERGEFORMAT </w:instrText>
      </w:r>
      <w:r w:rsidR="00C965F8">
        <w:fldChar w:fldCharType="separate"/>
      </w:r>
      <w:r w:rsidR="00000ECA">
        <w:t>Graf 2</w:t>
      </w:r>
      <w:r w:rsidR="00C965F8">
        <w:fldChar w:fldCharType="end"/>
      </w:r>
      <w:r>
        <w:t>, znázorňující průběh měsíčních spotřeb energie členěný dle energonositelů.</w:t>
      </w:r>
      <w:r w:rsidR="009C4FE7">
        <w:t xml:space="preserve"> </w:t>
      </w:r>
      <w:r w:rsidR="007D3406">
        <w:t>M</w:t>
      </w:r>
      <w:r w:rsidR="009C4FE7">
        <w:t xml:space="preserve">odře vyznačená spotřeba elektrické energie pro provoz budov očištěná o </w:t>
      </w:r>
      <w:r w:rsidR="00696AAA">
        <w:t>odběry elektrické energie pro vytápění je v průběhu roku víceméně konstantní, u ostatních energonositelů je patrná sezónní závislost.</w:t>
      </w:r>
    </w:p>
    <w:p w:rsidR="00486ACB" w:rsidRPr="00113ADE" w:rsidRDefault="005C5830" w:rsidP="007D3406">
      <w:pPr>
        <w:ind w:hanging="425"/>
      </w:pPr>
      <w:r>
        <w:pict w14:anchorId="482EF923">
          <v:shape id="_x0000_i1026" type="#_x0000_t75" style="width:492pt;height:180pt;mso-left-percent:-10001;mso-top-percent:-10001;mso-position-horizontal:absolute;mso-position-horizontal-relative:char;mso-position-vertical:absolute;mso-position-vertical-relative:line;mso-left-percent:-10001;mso-top-percent:-10001">
            <v:imagedata r:id="rId13" o:title=""/>
          </v:shape>
        </w:pict>
      </w:r>
    </w:p>
    <w:p w:rsidR="00486ACB" w:rsidRPr="00513581" w:rsidRDefault="00486ACB" w:rsidP="00CD2EEF">
      <w:pPr>
        <w:pStyle w:val="Titulek"/>
      </w:pPr>
      <w:bookmarkStart w:id="5" w:name="_Ref291572563"/>
      <w:r>
        <w:t xml:space="preserve">Graf </w:t>
      </w:r>
      <w:r w:rsidR="005C5830">
        <w:fldChar w:fldCharType="begin"/>
      </w:r>
      <w:r w:rsidR="005C5830">
        <w:instrText xml:space="preserve"> SEQ Graf \* ARABIC </w:instrText>
      </w:r>
      <w:r w:rsidR="005C5830">
        <w:fldChar w:fldCharType="separate"/>
      </w:r>
      <w:r w:rsidR="00000ECA">
        <w:rPr>
          <w:noProof/>
        </w:rPr>
        <w:t>2</w:t>
      </w:r>
      <w:r w:rsidR="005C5830">
        <w:rPr>
          <w:noProof/>
        </w:rPr>
        <w:fldChar w:fldCharType="end"/>
      </w:r>
      <w:bookmarkEnd w:id="5"/>
      <w:r>
        <w:t xml:space="preserve"> - Průběh spotře</w:t>
      </w:r>
      <w:r w:rsidR="009C2C8E">
        <w:t>by energie v letech 2009 až 2013</w:t>
      </w:r>
      <w:r>
        <w:t xml:space="preserve"> po energonositelích</w:t>
      </w:r>
    </w:p>
    <w:p w:rsidR="00486ACB" w:rsidRDefault="00486ACB" w:rsidP="003B6598">
      <w:pPr>
        <w:pStyle w:val="Nadpis2"/>
      </w:pPr>
      <w:bookmarkStart w:id="6" w:name="_Toc356781705"/>
      <w:r>
        <w:t>Ceny energie</w:t>
      </w:r>
      <w:bookmarkEnd w:id="6"/>
    </w:p>
    <w:p w:rsidR="00486ACB" w:rsidRDefault="00486ACB" w:rsidP="00D52B58">
      <w:pPr>
        <w:ind w:left="142"/>
        <w:jc w:val="both"/>
      </w:pPr>
      <w:r>
        <w:t xml:space="preserve">Jednotková cena elektrické energie v běžných tarifech </w:t>
      </w:r>
      <w:r w:rsidR="009C2C8E">
        <w:t>v roce 2013 meziročně</w:t>
      </w:r>
      <w:r>
        <w:t xml:space="preserve"> </w:t>
      </w:r>
      <w:r w:rsidR="009C2C8E">
        <w:t>vzrostla  o cca 7</w:t>
      </w:r>
      <w:r>
        <w:t xml:space="preserve">%. </w:t>
      </w:r>
      <w:r w:rsidR="00DE2709">
        <w:t>J</w:t>
      </w:r>
      <w:r w:rsidR="004A7FE9">
        <w:t>ednotkové ceny</w:t>
      </w:r>
      <w:r w:rsidR="00DE2709">
        <w:t xml:space="preserve"> zemního plynu a elektrické energie v „topných“ tarifech se na</w:t>
      </w:r>
      <w:r w:rsidR="00D52B58">
        <w:t> </w:t>
      </w:r>
      <w:r w:rsidR="00DE2709">
        <w:t>sledova</w:t>
      </w:r>
      <w:r w:rsidR="004A7FE9">
        <w:t>ných objektech meziročně změnily</w:t>
      </w:r>
      <w:r w:rsidR="00DE2709">
        <w:t xml:space="preserve"> jen velmi nepatrně. Průměrná jednotková</w:t>
      </w:r>
      <w:r>
        <w:t xml:space="preserve"> cena tepelné energie </w:t>
      </w:r>
      <w:r w:rsidR="00DE2709">
        <w:t>se meziročně snížila o 3%</w:t>
      </w:r>
      <w:r>
        <w:t>.</w:t>
      </w:r>
      <w:r w:rsidR="00DE2709">
        <w:t xml:space="preserve"> Příčinou meziročního poklesu ceny tepla je optimalizace dodavatelsko-odběratelských vztahů jednoho z objektů MSp, které bylo identifikováno v minulých letech provozu systému monitoringu. Měrná cena tepla na tomto objektu se meziročně snížila o více než 16%. </w:t>
      </w:r>
      <w:r w:rsidR="004A7FE9">
        <w:t>Průměrné jednotkové ceny nakupovaných</w:t>
      </w:r>
      <w:r>
        <w:t xml:space="preserve"> en</w:t>
      </w:r>
      <w:r w:rsidR="004A7FE9">
        <w:t>ergonositelů jsou uvedeny v tabulce 2.</w:t>
      </w:r>
      <w:r>
        <w:t xml:space="preserve"> Vzhledem k tomu, že od roku 2011 žádný ze</w:t>
      </w:r>
      <w:r w:rsidR="00D52B58">
        <w:t> </w:t>
      </w:r>
      <w:r>
        <w:t>sledovaných objektů není vytápěn topným olejem</w:t>
      </w:r>
      <w:r w:rsidR="00CF4EEC">
        <w:t>,</w:t>
      </w:r>
      <w:r>
        <w:t xml:space="preserve"> není možné pro roky </w:t>
      </w:r>
      <w:r w:rsidR="004A7FE9">
        <w:t>2011- 2013</w:t>
      </w:r>
      <w:r>
        <w:t xml:space="preserve"> jednotkovou cenu stanovit.</w:t>
      </w:r>
    </w:p>
    <w:tbl>
      <w:tblPr>
        <w:tblW w:w="8990" w:type="dxa"/>
        <w:tblInd w:w="250" w:type="dxa"/>
        <w:tblLook w:val="04A0" w:firstRow="1" w:lastRow="0" w:firstColumn="1" w:lastColumn="0" w:noHBand="0" w:noVBand="1"/>
      </w:tblPr>
      <w:tblGrid>
        <w:gridCol w:w="3402"/>
        <w:gridCol w:w="992"/>
        <w:gridCol w:w="915"/>
        <w:gridCol w:w="992"/>
        <w:gridCol w:w="992"/>
        <w:gridCol w:w="851"/>
        <w:gridCol w:w="846"/>
      </w:tblGrid>
      <w:tr w:rsidR="009C2C8E" w:rsidRPr="009C2C8E" w:rsidTr="00D52B58">
        <w:trPr>
          <w:trHeight w:val="255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C2C8E" w:rsidRPr="009C2C8E" w:rsidRDefault="009C2C8E" w:rsidP="009C2C8E">
            <w:pPr>
              <w:spacing w:after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2C8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Médium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C2C8E" w:rsidRPr="009C2C8E" w:rsidRDefault="009C2C8E" w:rsidP="009C2C8E">
            <w:pPr>
              <w:spacing w:after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2C8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m. j.</w:t>
            </w:r>
          </w:p>
        </w:tc>
        <w:tc>
          <w:tcPr>
            <w:tcW w:w="459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9C2C8E" w:rsidRPr="009C2C8E" w:rsidRDefault="009C2C8E" w:rsidP="009C2C8E">
            <w:pPr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2C8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Průměrná cena Kč/m. j.</w:t>
            </w:r>
          </w:p>
        </w:tc>
      </w:tr>
      <w:tr w:rsidR="009C2C8E" w:rsidRPr="009C2C8E" w:rsidTr="00D52B58">
        <w:trPr>
          <w:trHeight w:val="255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C8E" w:rsidRPr="009C2C8E" w:rsidRDefault="009C2C8E" w:rsidP="009C2C8E">
            <w:pPr>
              <w:spacing w:after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C8E" w:rsidRPr="009C2C8E" w:rsidRDefault="009C2C8E" w:rsidP="009C2C8E">
            <w:pPr>
              <w:spacing w:after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C2C8E" w:rsidRPr="009C2C8E" w:rsidRDefault="009C2C8E" w:rsidP="009C2C8E">
            <w:pPr>
              <w:spacing w:after="0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2C8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C2C8E" w:rsidRPr="009C2C8E" w:rsidRDefault="009C2C8E" w:rsidP="009C2C8E">
            <w:pPr>
              <w:spacing w:after="0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2C8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C2C8E" w:rsidRPr="009C2C8E" w:rsidRDefault="009C2C8E" w:rsidP="009C2C8E">
            <w:pPr>
              <w:spacing w:after="0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2C8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C2C8E" w:rsidRPr="009C2C8E" w:rsidRDefault="009C2C8E" w:rsidP="009C2C8E">
            <w:pPr>
              <w:spacing w:after="0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2C8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C2C8E" w:rsidRPr="009C2C8E" w:rsidRDefault="009C2C8E" w:rsidP="009C2C8E">
            <w:pPr>
              <w:spacing w:after="0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2C8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2013</w:t>
            </w:r>
          </w:p>
        </w:tc>
      </w:tr>
      <w:tr w:rsidR="009C2C8E" w:rsidRPr="009C2C8E" w:rsidTr="00D52B58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8E" w:rsidRPr="009C2C8E" w:rsidRDefault="00D52B58" w:rsidP="009C2C8E">
            <w:pPr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Energie elektrická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8E" w:rsidRPr="009C2C8E" w:rsidRDefault="009C2C8E" w:rsidP="009C2C8E">
            <w:pPr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9C2C8E">
              <w:rPr>
                <w:rFonts w:ascii="Arial" w:eastAsia="Times New Roman" w:hAnsi="Arial" w:cs="Arial"/>
                <w:sz w:val="20"/>
                <w:szCs w:val="20"/>
              </w:rPr>
              <w:t>MWh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8E" w:rsidRPr="009C2C8E" w:rsidRDefault="009C2C8E" w:rsidP="009C2C8E">
            <w:pPr>
              <w:spacing w:after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C2C8E">
              <w:rPr>
                <w:rFonts w:ascii="Arial" w:eastAsia="Times New Roman" w:hAnsi="Arial" w:cs="Arial"/>
                <w:sz w:val="20"/>
                <w:szCs w:val="20"/>
              </w:rPr>
              <w:t>3859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C8E" w:rsidRPr="009C2C8E" w:rsidRDefault="009C2C8E" w:rsidP="009C2C8E">
            <w:pPr>
              <w:spacing w:after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C2C8E">
              <w:rPr>
                <w:rFonts w:ascii="Arial" w:eastAsia="Times New Roman" w:hAnsi="Arial" w:cs="Arial"/>
                <w:sz w:val="20"/>
                <w:szCs w:val="20"/>
              </w:rPr>
              <w:t>3623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C8E" w:rsidRPr="009C2C8E" w:rsidRDefault="009C2C8E" w:rsidP="009C2C8E">
            <w:pPr>
              <w:spacing w:after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C2C8E">
              <w:rPr>
                <w:rFonts w:ascii="Arial" w:eastAsia="Times New Roman" w:hAnsi="Arial" w:cs="Arial"/>
                <w:sz w:val="20"/>
                <w:szCs w:val="20"/>
              </w:rPr>
              <w:t>3762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C8E" w:rsidRPr="009C2C8E" w:rsidRDefault="009C2C8E" w:rsidP="009C2C8E">
            <w:pPr>
              <w:spacing w:after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C2C8E">
              <w:rPr>
                <w:rFonts w:ascii="Arial" w:eastAsia="Times New Roman" w:hAnsi="Arial" w:cs="Arial"/>
                <w:sz w:val="20"/>
                <w:szCs w:val="20"/>
              </w:rPr>
              <w:t>3636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C8E" w:rsidRPr="009C2C8E" w:rsidRDefault="009C2C8E" w:rsidP="009C2C8E">
            <w:pPr>
              <w:spacing w:after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C2C8E">
              <w:rPr>
                <w:rFonts w:ascii="Arial" w:eastAsia="Times New Roman" w:hAnsi="Arial" w:cs="Arial"/>
                <w:sz w:val="20"/>
                <w:szCs w:val="20"/>
              </w:rPr>
              <w:t>3881</w:t>
            </w:r>
          </w:p>
        </w:tc>
      </w:tr>
      <w:tr w:rsidR="009C2C8E" w:rsidRPr="009C2C8E" w:rsidTr="00D52B58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8E" w:rsidRPr="009C2C8E" w:rsidRDefault="00D52B58" w:rsidP="009C2C8E">
            <w:pPr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Energie tepelná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8E" w:rsidRPr="009C2C8E" w:rsidRDefault="009C2C8E" w:rsidP="009C2C8E">
            <w:pPr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9C2C8E">
              <w:rPr>
                <w:rFonts w:ascii="Arial" w:eastAsia="Times New Roman" w:hAnsi="Arial" w:cs="Arial"/>
                <w:sz w:val="20"/>
                <w:szCs w:val="20"/>
              </w:rPr>
              <w:t>MWh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8E" w:rsidRPr="009C2C8E" w:rsidRDefault="009C2C8E" w:rsidP="009C2C8E">
            <w:pPr>
              <w:spacing w:after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C2C8E">
              <w:rPr>
                <w:rFonts w:ascii="Arial" w:eastAsia="Times New Roman" w:hAnsi="Arial" w:cs="Arial"/>
                <w:sz w:val="20"/>
                <w:szCs w:val="20"/>
              </w:rPr>
              <w:t>2869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C8E" w:rsidRPr="009C2C8E" w:rsidRDefault="009C2C8E" w:rsidP="009C2C8E">
            <w:pPr>
              <w:spacing w:after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C2C8E">
              <w:rPr>
                <w:rFonts w:ascii="Arial" w:eastAsia="Times New Roman" w:hAnsi="Arial" w:cs="Arial"/>
                <w:sz w:val="20"/>
                <w:szCs w:val="20"/>
              </w:rPr>
              <w:t>2521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C8E" w:rsidRPr="009C2C8E" w:rsidRDefault="009C2C8E" w:rsidP="009C2C8E">
            <w:pPr>
              <w:spacing w:after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C2C8E">
              <w:rPr>
                <w:rFonts w:ascii="Arial" w:eastAsia="Times New Roman" w:hAnsi="Arial" w:cs="Arial"/>
                <w:sz w:val="20"/>
                <w:szCs w:val="20"/>
              </w:rPr>
              <w:t>2456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C8E" w:rsidRPr="009C2C8E" w:rsidRDefault="009C2C8E" w:rsidP="009C2C8E">
            <w:pPr>
              <w:spacing w:after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C2C8E">
              <w:rPr>
                <w:rFonts w:ascii="Arial" w:eastAsia="Times New Roman" w:hAnsi="Arial" w:cs="Arial"/>
                <w:sz w:val="20"/>
                <w:szCs w:val="20"/>
              </w:rPr>
              <w:t>2644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C8E" w:rsidRPr="009C2C8E" w:rsidRDefault="009C2C8E" w:rsidP="009C2C8E">
            <w:pPr>
              <w:spacing w:after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C2C8E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9C2C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653</w:t>
            </w:r>
          </w:p>
        </w:tc>
      </w:tr>
      <w:tr w:rsidR="009C2C8E" w:rsidRPr="009C2C8E" w:rsidTr="00D52B58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8E" w:rsidRPr="009C2C8E" w:rsidRDefault="00D52B58" w:rsidP="009C2C8E">
            <w:pPr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Zemní plyn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8E" w:rsidRPr="009C2C8E" w:rsidRDefault="009C2C8E" w:rsidP="009C2C8E">
            <w:pPr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C2C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Nm3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8E" w:rsidRPr="009C2C8E" w:rsidRDefault="009C2C8E" w:rsidP="009C2C8E">
            <w:pPr>
              <w:spacing w:after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C2C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C8E" w:rsidRPr="009C2C8E" w:rsidRDefault="009C2C8E" w:rsidP="009C2C8E">
            <w:pPr>
              <w:spacing w:after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C2C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C8E" w:rsidRPr="009C2C8E" w:rsidRDefault="009C2C8E" w:rsidP="009C2C8E">
            <w:pPr>
              <w:spacing w:after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C2C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C8E" w:rsidRPr="009C2C8E" w:rsidRDefault="009C2C8E" w:rsidP="009C2C8E">
            <w:pPr>
              <w:spacing w:after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C2C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13,5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C8E" w:rsidRPr="009C2C8E" w:rsidRDefault="009C2C8E" w:rsidP="009C2C8E">
            <w:pPr>
              <w:spacing w:after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C2C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13,6</w:t>
            </w:r>
          </w:p>
        </w:tc>
      </w:tr>
      <w:tr w:rsidR="009C2C8E" w:rsidRPr="009C2C8E" w:rsidTr="00D52B58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8E" w:rsidRPr="009C2C8E" w:rsidRDefault="00D52B58" w:rsidP="009C2C8E">
            <w:pPr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Teplo CZT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8E" w:rsidRPr="009C2C8E" w:rsidRDefault="009C2C8E" w:rsidP="009C2C8E">
            <w:pPr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C2C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GJ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8E" w:rsidRPr="009C2C8E" w:rsidRDefault="009C2C8E" w:rsidP="009C2C8E">
            <w:pPr>
              <w:spacing w:after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C2C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C8E" w:rsidRPr="009C2C8E" w:rsidRDefault="009C2C8E" w:rsidP="009C2C8E">
            <w:pPr>
              <w:spacing w:after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C2C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C8E" w:rsidRPr="009C2C8E" w:rsidRDefault="009C2C8E" w:rsidP="009C2C8E">
            <w:pPr>
              <w:spacing w:after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C2C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C8E" w:rsidRPr="009C2C8E" w:rsidRDefault="009C2C8E" w:rsidP="009C2C8E">
            <w:pPr>
              <w:spacing w:after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C2C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541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C8E" w:rsidRPr="009C2C8E" w:rsidRDefault="009C2C8E" w:rsidP="009C2C8E">
            <w:pPr>
              <w:spacing w:after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C2C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524</w:t>
            </w:r>
          </w:p>
        </w:tc>
      </w:tr>
      <w:tr w:rsidR="009C2C8E" w:rsidRPr="009C2C8E" w:rsidTr="00D52B58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8E" w:rsidRPr="009C2C8E" w:rsidRDefault="00D52B58" w:rsidP="009C2C8E">
            <w:pPr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Topný olej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8E" w:rsidRPr="009C2C8E" w:rsidRDefault="009C2C8E" w:rsidP="009C2C8E">
            <w:pPr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C2C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8E" w:rsidRPr="009C2C8E" w:rsidRDefault="009C2C8E" w:rsidP="009C2C8E">
            <w:pPr>
              <w:spacing w:after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C2C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C8E" w:rsidRPr="009C2C8E" w:rsidRDefault="009C2C8E" w:rsidP="009C2C8E">
            <w:pPr>
              <w:spacing w:after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C2C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11930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2C8E" w:rsidRPr="009C2C8E" w:rsidRDefault="009C2C8E" w:rsidP="009C2C8E">
            <w:pPr>
              <w:spacing w:after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C2C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Není k dispozici</w:t>
            </w:r>
          </w:p>
        </w:tc>
      </w:tr>
    </w:tbl>
    <w:p w:rsidR="00486ACB" w:rsidRDefault="00486ACB" w:rsidP="00DC7CEF">
      <w:pPr>
        <w:pStyle w:val="Titulek"/>
        <w:spacing w:before="240"/>
      </w:pPr>
      <w:bookmarkStart w:id="7" w:name="_Ref291574754"/>
      <w:r>
        <w:t xml:space="preserve">Tabulka </w:t>
      </w:r>
      <w:r w:rsidR="005C5830">
        <w:fldChar w:fldCharType="begin"/>
      </w:r>
      <w:r w:rsidR="005C5830">
        <w:instrText xml:space="preserve"> SEQ Tabulka \* ARABIC </w:instrText>
      </w:r>
      <w:r w:rsidR="005C5830">
        <w:fldChar w:fldCharType="separate"/>
      </w:r>
      <w:r w:rsidR="00000ECA">
        <w:rPr>
          <w:noProof/>
        </w:rPr>
        <w:t>2</w:t>
      </w:r>
      <w:r w:rsidR="005C5830">
        <w:rPr>
          <w:noProof/>
        </w:rPr>
        <w:fldChar w:fldCharType="end"/>
      </w:r>
      <w:bookmarkEnd w:id="7"/>
      <w:r>
        <w:t xml:space="preserve"> – Meziroční srovnání jednotkových cen sledovaných energetických vstupů</w:t>
      </w:r>
    </w:p>
    <w:p w:rsidR="00486ACB" w:rsidRDefault="00486ACB" w:rsidP="00CD2EEF">
      <w:pPr>
        <w:pStyle w:val="Nadpis2"/>
      </w:pPr>
      <w:r w:rsidRPr="00C01596">
        <w:t xml:space="preserve"> </w:t>
      </w:r>
      <w:bookmarkStart w:id="8" w:name="_Toc356781706"/>
      <w:r w:rsidRPr="00C01596">
        <w:t>Náklady</w:t>
      </w:r>
      <w:bookmarkEnd w:id="8"/>
    </w:p>
    <w:p w:rsidR="00486ACB" w:rsidRDefault="00486ACB" w:rsidP="00DC7CEF">
      <w:pPr>
        <w:spacing w:after="0"/>
        <w:ind w:left="142"/>
        <w:jc w:val="both"/>
      </w:pPr>
      <w:r>
        <w:t>Celkové roční náklady na energii u sledovanýc</w:t>
      </w:r>
      <w:r w:rsidR="00E613DB">
        <w:t xml:space="preserve">h objektů </w:t>
      </w:r>
      <w:r w:rsidR="00DF0B5E">
        <w:t>v roce 2013</w:t>
      </w:r>
      <w:r w:rsidR="00E613DB">
        <w:t xml:space="preserve"> činily 297,6</w:t>
      </w:r>
      <w:r>
        <w:t xml:space="preserve"> mil. Kč. </w:t>
      </w:r>
      <w:r w:rsidR="00E613DB">
        <w:t>Náklady na zásobování monitorovaných objektů energií se tak ročně zvýšily o</w:t>
      </w:r>
      <w:r w:rsidR="00145CF2">
        <w:t> </w:t>
      </w:r>
      <w:r w:rsidR="00E613DB">
        <w:t xml:space="preserve">5,1%. </w:t>
      </w:r>
      <w:r>
        <w:t xml:space="preserve">Náklady jsou sledovány na základě fakturace od dodavatelů energie. Veškeré finanční údaje jsou vzhledem k povaze monitorovaných institucí počítány včetně daně z přidané hodnoty. </w:t>
      </w:r>
      <w:r w:rsidR="00C965F8">
        <w:fldChar w:fldCharType="begin"/>
      </w:r>
      <w:r w:rsidR="00C965F8">
        <w:instrText xml:space="preserve"> REF _Ref291572590 \h  \* MERGEFORMAT </w:instrText>
      </w:r>
      <w:r w:rsidR="00C965F8">
        <w:fldChar w:fldCharType="separate"/>
      </w:r>
      <w:r w:rsidR="00000ECA">
        <w:t>Graf 3</w:t>
      </w:r>
      <w:r w:rsidR="00C965F8">
        <w:fldChar w:fldCharType="end"/>
      </w:r>
      <w:r>
        <w:t xml:space="preserve"> znázorňuje podíl jednotlivých resortů na spotřebě celého souboru monitorovaných budov.</w:t>
      </w:r>
    </w:p>
    <w:p w:rsidR="00486ACB" w:rsidRPr="00F03A27" w:rsidRDefault="005C5830" w:rsidP="00DC7CEF">
      <w:pPr>
        <w:ind w:left="-142"/>
      </w:pPr>
      <w:r>
        <w:pict w14:anchorId="4569C826">
          <v:shape id="_x0000_i1027" type="#_x0000_t75" style="width:463.5pt;height:231.75pt;mso-left-percent:-10001;mso-top-percent:-10001;mso-position-horizontal:absolute;mso-position-horizontal-relative:char;mso-position-vertical:absolute;mso-position-vertical-relative:line;mso-left-percent:-10001;mso-top-percent:-10001">
            <v:imagedata r:id="rId14" o:title=""/>
          </v:shape>
        </w:pict>
      </w:r>
    </w:p>
    <w:p w:rsidR="00486ACB" w:rsidRDefault="00486ACB" w:rsidP="00CD2EEF">
      <w:pPr>
        <w:pStyle w:val="Titulek"/>
      </w:pPr>
      <w:bookmarkStart w:id="9" w:name="_Ref291572590"/>
      <w:r>
        <w:t xml:space="preserve">Graf </w:t>
      </w:r>
      <w:r w:rsidR="005C5830">
        <w:fldChar w:fldCharType="begin"/>
      </w:r>
      <w:r w:rsidR="005C5830">
        <w:instrText xml:space="preserve"> SEQ Graf \* ARABIC </w:instrText>
      </w:r>
      <w:r w:rsidR="005C5830">
        <w:fldChar w:fldCharType="separate"/>
      </w:r>
      <w:r w:rsidR="00000ECA">
        <w:rPr>
          <w:noProof/>
        </w:rPr>
        <w:t>3</w:t>
      </w:r>
      <w:r w:rsidR="005C5830">
        <w:rPr>
          <w:noProof/>
        </w:rPr>
        <w:fldChar w:fldCharType="end"/>
      </w:r>
      <w:bookmarkEnd w:id="9"/>
      <w:r>
        <w:t xml:space="preserve"> - Podíl resortů na celkové spotřebě energie</w:t>
      </w:r>
      <w:r w:rsidR="00DF0B5E">
        <w:t xml:space="preserve"> sledovaných objektů v roce 2013</w:t>
      </w:r>
    </w:p>
    <w:p w:rsidR="00486ACB" w:rsidRDefault="00486ACB" w:rsidP="00CD2EEF">
      <w:pPr>
        <w:pStyle w:val="Nadpis2"/>
      </w:pPr>
      <w:r w:rsidRPr="00C01596">
        <w:t xml:space="preserve">  </w:t>
      </w:r>
      <w:bookmarkStart w:id="10" w:name="_Toc356781707"/>
      <w:r w:rsidRPr="00C01596">
        <w:t>Palivová základna</w:t>
      </w:r>
      <w:bookmarkEnd w:id="10"/>
    </w:p>
    <w:p w:rsidR="00DF0B5E" w:rsidRDefault="00486ACB" w:rsidP="00DC7CEF">
      <w:pPr>
        <w:ind w:left="142"/>
        <w:jc w:val="both"/>
      </w:pPr>
      <w:r>
        <w:t xml:space="preserve">Jak již bylo </w:t>
      </w:r>
      <w:r w:rsidR="00DF0B5E">
        <w:t>konstatováno</w:t>
      </w:r>
      <w:r>
        <w:t>, ne</w:t>
      </w:r>
      <w:r w:rsidR="00DF0B5E">
        <w:t>došlo v roce 2013</w:t>
      </w:r>
      <w:r>
        <w:t xml:space="preserve"> k zásadní změně zásobování sledovaných objektů jednotlivými energonositeli.</w:t>
      </w:r>
      <w:r w:rsidR="00DF0B5E">
        <w:t xml:space="preserve"> </w:t>
      </w:r>
      <w:r>
        <w:t xml:space="preserve">Podíl jednotlivých energonositelů na celkovém energetickém vstupu znázorňuje </w:t>
      </w:r>
      <w:r w:rsidR="00C965F8">
        <w:fldChar w:fldCharType="begin"/>
      </w:r>
      <w:r w:rsidR="00C965F8">
        <w:instrText xml:space="preserve"> REF _Ref291574488 \h  \* MERGEFORMAT </w:instrText>
      </w:r>
      <w:r w:rsidR="00C965F8">
        <w:fldChar w:fldCharType="separate"/>
      </w:r>
      <w:r w:rsidR="00000ECA">
        <w:t>Graf 4</w:t>
      </w:r>
      <w:r w:rsidR="00C965F8">
        <w:fldChar w:fldCharType="end"/>
      </w:r>
      <w:r>
        <w:t>. Spotřeba elektrické energie pro provozní účely je přitom v ojedinělých případech zatížena krytím části spotřeby energie objektu pro vytápění, jelikož jsou sledovány pouze fakturační vstupy energie a několik sledovaných budov nemá fakturačně oddělenou spotřebu elektrické energie pro vytápění. Jedná se však pouze o</w:t>
      </w:r>
      <w:r w:rsidR="00DC7CEF">
        <w:t> </w:t>
      </w:r>
      <w:r>
        <w:t>výjimky.</w:t>
      </w:r>
      <w:r w:rsidR="00DF0B5E" w:rsidRPr="00DF0B5E">
        <w:t xml:space="preserve"> </w:t>
      </w:r>
    </w:p>
    <w:p w:rsidR="00486ACB" w:rsidRPr="008546F9" w:rsidRDefault="005C5830" w:rsidP="00DC7CEF">
      <w:pPr>
        <w:ind w:left="0"/>
        <w:jc w:val="both"/>
      </w:pPr>
      <w:r>
        <w:pict>
          <v:shape id="_x0000_i1028" type="#_x0000_t75" style="width:453.75pt;height:198pt;mso-left-percent:-10001;mso-top-percent:-10001;mso-position-horizontal:absolute;mso-position-horizontal-relative:char;mso-position-vertical:absolute;mso-position-vertical-relative:line;mso-left-percent:-10001;mso-top-percent:-10001">
            <v:imagedata r:id="rId15" o:title=""/>
          </v:shape>
        </w:pict>
      </w:r>
    </w:p>
    <w:p w:rsidR="00486ACB" w:rsidRDefault="00486ACB" w:rsidP="00CD2EEF">
      <w:pPr>
        <w:pStyle w:val="Titulek"/>
      </w:pPr>
      <w:bookmarkStart w:id="11" w:name="_Ref291574488"/>
      <w:r>
        <w:t xml:space="preserve">Graf </w:t>
      </w:r>
      <w:r w:rsidR="005C5830">
        <w:fldChar w:fldCharType="begin"/>
      </w:r>
      <w:r w:rsidR="005C5830">
        <w:instrText xml:space="preserve"> SEQ Graf \* ARABIC </w:instrText>
      </w:r>
      <w:r w:rsidR="005C5830">
        <w:fldChar w:fldCharType="separate"/>
      </w:r>
      <w:r w:rsidR="00000ECA">
        <w:rPr>
          <w:noProof/>
        </w:rPr>
        <w:t>4</w:t>
      </w:r>
      <w:r w:rsidR="005C5830">
        <w:rPr>
          <w:noProof/>
        </w:rPr>
        <w:fldChar w:fldCharType="end"/>
      </w:r>
      <w:bookmarkEnd w:id="11"/>
      <w:r>
        <w:t xml:space="preserve"> – Podíl sledovaných energonositelů na celk</w:t>
      </w:r>
      <w:r w:rsidR="00DF0B5E">
        <w:t>ové spotřebě energie v roce 2013</w:t>
      </w:r>
    </w:p>
    <w:p w:rsidR="00486ACB" w:rsidRDefault="00486ACB" w:rsidP="00CD2EEF">
      <w:pPr>
        <w:pStyle w:val="Nadpis2"/>
      </w:pPr>
      <w:r>
        <w:t xml:space="preserve">  </w:t>
      </w:r>
      <w:bookmarkStart w:id="12" w:name="_Toc356781708"/>
      <w:r>
        <w:t>Měrné ukazatele</w:t>
      </w:r>
      <w:bookmarkEnd w:id="12"/>
    </w:p>
    <w:p w:rsidR="00486ACB" w:rsidRDefault="00486ACB" w:rsidP="00DC7CEF">
      <w:pPr>
        <w:ind w:left="142"/>
        <w:jc w:val="both"/>
      </w:pPr>
      <w:r>
        <w:t xml:space="preserve">Objekty, u kterých lze samostatně stanovit množství energie pro vytápění je možné porovnat z hlediska měrné spotřeby na vytápění vztažené na jednotku vytápěné podlahové plochy (viz </w:t>
      </w:r>
      <w:r w:rsidR="00C965F8">
        <w:fldChar w:fldCharType="begin"/>
      </w:r>
      <w:r w:rsidR="00C965F8">
        <w:instrText xml:space="preserve"> REF _Ref291576974 \h  \* MERGEFORMAT </w:instrText>
      </w:r>
      <w:r w:rsidR="00C965F8">
        <w:fldChar w:fldCharType="separate"/>
      </w:r>
      <w:r w:rsidR="00000ECA">
        <w:t>Graf 5</w:t>
      </w:r>
      <w:r w:rsidR="00C965F8">
        <w:fldChar w:fldCharType="end"/>
      </w:r>
      <w:r>
        <w:t>).</w:t>
      </w:r>
    </w:p>
    <w:p w:rsidR="00486ACB" w:rsidRPr="00A379B1" w:rsidRDefault="005C5830" w:rsidP="00DC7CEF">
      <w:pPr>
        <w:ind w:left="-142"/>
      </w:pPr>
      <w:r>
        <w:pict w14:anchorId="4A3EF825">
          <v:shape id="_x0000_i1029" type="#_x0000_t75" style="width:461.25pt;height:320.25pt;mso-left-percent:-10001;mso-top-percent:-10001;mso-position-horizontal:absolute;mso-position-horizontal-relative:char;mso-position-vertical:absolute;mso-position-vertical-relative:line;mso-left-percent:-10001;mso-top-percent:-10001">
            <v:imagedata r:id="rId16" o:title=""/>
          </v:shape>
        </w:pict>
      </w:r>
    </w:p>
    <w:p w:rsidR="00486ACB" w:rsidRDefault="00486ACB" w:rsidP="00DC4953">
      <w:pPr>
        <w:pStyle w:val="Titulek"/>
      </w:pPr>
      <w:bookmarkStart w:id="13" w:name="_Ref291576974"/>
      <w:r>
        <w:t xml:space="preserve">Graf </w:t>
      </w:r>
      <w:r w:rsidR="005C5830">
        <w:fldChar w:fldCharType="begin"/>
      </w:r>
      <w:r w:rsidR="005C5830">
        <w:instrText xml:space="preserve"> SEQ Graf \* ARABIC </w:instrText>
      </w:r>
      <w:r w:rsidR="005C5830">
        <w:fldChar w:fldCharType="separate"/>
      </w:r>
      <w:r w:rsidR="00000ECA">
        <w:rPr>
          <w:noProof/>
        </w:rPr>
        <w:t>5</w:t>
      </w:r>
      <w:r w:rsidR="005C5830">
        <w:rPr>
          <w:noProof/>
        </w:rPr>
        <w:fldChar w:fldCharType="end"/>
      </w:r>
      <w:bookmarkEnd w:id="13"/>
      <w:r>
        <w:t xml:space="preserve"> – Porovnání měrné spotřeby energie objektů na vytápění v roce 201</w:t>
      </w:r>
      <w:r w:rsidR="00A758EC">
        <w:t>3</w:t>
      </w:r>
    </w:p>
    <w:p w:rsidR="00486ACB" w:rsidRDefault="00486ACB" w:rsidP="00E03F86">
      <w:pPr>
        <w:ind w:left="142"/>
        <w:jc w:val="both"/>
      </w:pPr>
      <w:r>
        <w:t>Porovnání měrných spotřeb umožňuje jednoduše zhodnotit energetickou náročnost objektů a identifikovat tak případy nehospodárného nakládání energií a vyhledávat potenciální energeticky úsporné projekty. Objektům vykazujícím výsledky vymykající se normálu je věnována zvláštní pozornost.</w:t>
      </w:r>
    </w:p>
    <w:p w:rsidR="00486ACB" w:rsidRDefault="00486ACB" w:rsidP="00832BB7">
      <w:pPr>
        <w:pStyle w:val="Nadpis1"/>
        <w:pageBreakBefore w:val="0"/>
      </w:pPr>
      <w:bookmarkStart w:id="14" w:name="_Toc356781709"/>
      <w:r w:rsidRPr="00C01596">
        <w:t>Souhrn dosažených výsledků</w:t>
      </w:r>
      <w:bookmarkEnd w:id="14"/>
    </w:p>
    <w:p w:rsidR="00486ACB" w:rsidRDefault="00E43FEE" w:rsidP="00E03F86">
      <w:pPr>
        <w:ind w:left="142"/>
        <w:jc w:val="both"/>
      </w:pPr>
      <w:r>
        <w:t>V roce 2013</w:t>
      </w:r>
      <w:r w:rsidR="00486ACB">
        <w:t xml:space="preserve"> byl systém monitorování spotřeby energie vybraných vládních objektů provozován v souladu s plánem. Údaje o spotřebě energie jsou pravidelně sbírány a analyzovány, případy výskytu nestandardních odchylek jsou řešeny s energetiky dotčených resortů. Většina resortů aktivně pracuje na zlepšování v oblasti hospodaření s energií.</w:t>
      </w:r>
    </w:p>
    <w:p w:rsidR="00486ACB" w:rsidRPr="00576C8A" w:rsidRDefault="00486ACB" w:rsidP="00FB6028">
      <w:pPr>
        <w:pStyle w:val="Nadpis2"/>
      </w:pPr>
      <w:bookmarkStart w:id="15" w:name="_Toc356781710"/>
      <w:r w:rsidRPr="00576C8A">
        <w:t>Úsporná opatření</w:t>
      </w:r>
      <w:bookmarkEnd w:id="15"/>
    </w:p>
    <w:p w:rsidR="00486ACB" w:rsidRDefault="00486ACB" w:rsidP="00E03F86">
      <w:pPr>
        <w:ind w:left="142"/>
        <w:jc w:val="both"/>
      </w:pPr>
      <w:r>
        <w:t>Vzhledem k</w:t>
      </w:r>
      <w:r w:rsidR="00E43FEE">
        <w:t>e značně</w:t>
      </w:r>
      <w:r>
        <w:t> omezeným možnostem resortů realizovat energeticky úsporná opatření</w:t>
      </w:r>
      <w:r w:rsidR="00E43FEE">
        <w:t xml:space="preserve"> a projekty proběhlo v roce 2013</w:t>
      </w:r>
      <w:r>
        <w:t xml:space="preserve"> </w:t>
      </w:r>
      <w:r w:rsidR="00E43FEE">
        <w:t>jen</w:t>
      </w:r>
      <w:r>
        <w:t xml:space="preserve"> několik zásadnějších úsporných projektů. Snahou většiny resortů bylo především snížit náklady na energii bez vynaložení nedostávajících se</w:t>
      </w:r>
      <w:r w:rsidR="00E03F86">
        <w:t> </w:t>
      </w:r>
      <w:r>
        <w:t>investičních prostředků. Zaměřovaly se proto zejména na zlepšení podmínek nákupu energie přípravou a konáním výběrových řízení na dodavatele. Resorty také pracují na optimalizaci prostorového a časového využití a obsazenosti objektů, čímž globálně přispívají i ke snížení energetické náročnosti.</w:t>
      </w:r>
    </w:p>
    <w:p w:rsidR="002F0292" w:rsidRDefault="00486ACB" w:rsidP="00E03F86">
      <w:pPr>
        <w:ind w:left="142"/>
        <w:jc w:val="both"/>
      </w:pPr>
      <w:r>
        <w:t>Na základě cílů nastavených na základě údajů roku 2009 je možné sledovat souhrnně přínosy těchto úsporných opatření na trendu kumulovaných úspor energie</w:t>
      </w:r>
      <w:r>
        <w:rPr>
          <w:rStyle w:val="Znakapoznpodarou"/>
        </w:rPr>
        <w:footnoteReference w:id="2"/>
      </w:r>
      <w:r>
        <w:t xml:space="preserve"> (viz </w:t>
      </w:r>
      <w:r w:rsidR="00C965F8">
        <w:fldChar w:fldCharType="begin"/>
      </w:r>
      <w:r w:rsidR="00C965F8">
        <w:instrText xml:space="preserve"> REF _Ref291569630 \h  \* MERGEFORMAT </w:instrText>
      </w:r>
      <w:r w:rsidR="00C965F8">
        <w:fldChar w:fldCharType="separate"/>
      </w:r>
      <w:r w:rsidR="00000ECA">
        <w:t>Graf 6</w:t>
      </w:r>
      <w:r w:rsidR="00C965F8">
        <w:fldChar w:fldCharType="end"/>
      </w:r>
      <w:r w:rsidR="002F0292">
        <w:t>).</w:t>
      </w:r>
    </w:p>
    <w:p w:rsidR="00486ACB" w:rsidRDefault="00486ACB" w:rsidP="00E03F86">
      <w:pPr>
        <w:ind w:left="142"/>
        <w:jc w:val="both"/>
      </w:pPr>
      <w:r w:rsidRPr="002F0292">
        <w:rPr>
          <w:b/>
        </w:rPr>
        <w:t>Z porovnání cílových a reálně dosažených spotřeb energie jednotlivých ob</w:t>
      </w:r>
      <w:r w:rsidR="002F0292" w:rsidRPr="002F0292">
        <w:rPr>
          <w:b/>
        </w:rPr>
        <w:t>jektů vyplývá, že se v roce 2013</w:t>
      </w:r>
      <w:r w:rsidRPr="002F0292">
        <w:rPr>
          <w:b/>
        </w:rPr>
        <w:t xml:space="preserve"> podařilo resortům na souboru sledovaných obj</w:t>
      </w:r>
      <w:r w:rsidR="002F0292" w:rsidRPr="002F0292">
        <w:rPr>
          <w:b/>
        </w:rPr>
        <w:t>ektů dosáhnout úspory ve výši 11,6</w:t>
      </w:r>
      <w:r w:rsidRPr="002F0292">
        <w:rPr>
          <w:b/>
        </w:rPr>
        <w:t xml:space="preserve"> mil. Kč v aktuálních cenách energie</w:t>
      </w:r>
      <w:r w:rsidR="00CF4EEC">
        <w:rPr>
          <w:b/>
        </w:rPr>
        <w:t xml:space="preserve"> oproti roku 2009</w:t>
      </w:r>
      <w:r w:rsidRPr="002F0292">
        <w:rPr>
          <w:b/>
        </w:rPr>
        <w:t>.</w:t>
      </w:r>
    </w:p>
    <w:p w:rsidR="00486ACB" w:rsidRPr="00F03A27" w:rsidRDefault="005C5830" w:rsidP="007D3406">
      <w:pPr>
        <w:pStyle w:val="MainText"/>
        <w:ind w:left="142"/>
      </w:pPr>
      <w:r>
        <w:pict w14:anchorId="043BF7CC">
          <v:shape id="_x0000_i1030" type="#_x0000_t75" style="width:493.5pt;height:282pt;mso-left-percent:-10001;mso-top-percent:-10001;mso-position-horizontal:absolute;mso-position-horizontal-relative:char;mso-position-vertical:absolute;mso-position-vertical-relative:line;mso-left-percent:-10001;mso-top-percent:-10001">
            <v:imagedata r:id="rId17" o:title=""/>
          </v:shape>
        </w:pict>
      </w:r>
    </w:p>
    <w:p w:rsidR="00486ACB" w:rsidRDefault="00486ACB" w:rsidP="00455864">
      <w:pPr>
        <w:pStyle w:val="Titulek"/>
      </w:pPr>
      <w:bookmarkStart w:id="16" w:name="_Ref291569630"/>
      <w:r>
        <w:t xml:space="preserve">Graf </w:t>
      </w:r>
      <w:r w:rsidR="005C5830">
        <w:fldChar w:fldCharType="begin"/>
      </w:r>
      <w:r w:rsidR="005C5830">
        <w:instrText xml:space="preserve"> SEQ Graf \* ARABIC </w:instrText>
      </w:r>
      <w:r w:rsidR="005C5830">
        <w:fldChar w:fldCharType="separate"/>
      </w:r>
      <w:r w:rsidR="00000ECA">
        <w:rPr>
          <w:noProof/>
        </w:rPr>
        <w:t>6</w:t>
      </w:r>
      <w:r w:rsidR="005C5830">
        <w:rPr>
          <w:noProof/>
        </w:rPr>
        <w:fldChar w:fldCharType="end"/>
      </w:r>
      <w:bookmarkEnd w:id="16"/>
      <w:r>
        <w:t xml:space="preserve"> – Trend kumulované úspory na úrovni celého systému</w:t>
      </w:r>
    </w:p>
    <w:p w:rsidR="00362BB3" w:rsidRPr="00362BB3" w:rsidRDefault="00362BB3" w:rsidP="00E03F86">
      <w:pPr>
        <w:ind w:left="142"/>
        <w:jc w:val="both"/>
        <w:rPr>
          <w:b/>
        </w:rPr>
      </w:pPr>
      <w:r w:rsidRPr="00362BB3">
        <w:rPr>
          <w:b/>
        </w:rPr>
        <w:t>Od roku 2010 se podařilo resortům v porovnání s rokem 2009 realizovat úsporná opatření jejichž prostý kumulovaný přínos dosahuje hodnoty cca. 38 mil. Kč.</w:t>
      </w:r>
    </w:p>
    <w:p w:rsidR="00362BB3" w:rsidRDefault="00486ACB" w:rsidP="00E03F86">
      <w:pPr>
        <w:ind w:left="142"/>
        <w:jc w:val="both"/>
      </w:pPr>
      <w:r>
        <w:t>Tato data jsou výsledkem kumulace odchylek skutečně dosahov</w:t>
      </w:r>
      <w:r w:rsidR="002F0292">
        <w:t>ané spotřeby energie v roce 2013</w:t>
      </w:r>
      <w:r>
        <w:t xml:space="preserve"> od nastavených cílů. Jsou rozlišitelné na úrovni sledovaných objektů a energetických vstupů. Detailní výsledky této analýzy jsou součástí pravidelných reportů dostupných členům meziresortní pracovní skupiny.</w:t>
      </w:r>
    </w:p>
    <w:p w:rsidR="00362BB3" w:rsidRDefault="00362BB3" w:rsidP="00E03F86">
      <w:pPr>
        <w:ind w:left="142"/>
        <w:jc w:val="both"/>
      </w:pPr>
      <w:r>
        <w:t>J</w:t>
      </w:r>
      <w:r w:rsidRPr="00576C8A">
        <w:t xml:space="preserve">e </w:t>
      </w:r>
      <w:r>
        <w:t xml:space="preserve">proto </w:t>
      </w:r>
      <w:r w:rsidRPr="00576C8A">
        <w:t>také možné porovnat přínosy jednotlivých resortů k celkově dosahovaným úsporám.</w:t>
      </w:r>
      <w:r>
        <w:t xml:space="preserve"> Výsledky porovnání znázorňuje </w:t>
      </w:r>
      <w:r>
        <w:fldChar w:fldCharType="begin"/>
      </w:r>
      <w:r>
        <w:instrText xml:space="preserve"> REF _Ref291569750 \h  \* MERGEFORMAT </w:instrText>
      </w:r>
      <w:r>
        <w:fldChar w:fldCharType="separate"/>
      </w:r>
      <w:r w:rsidR="00000ECA">
        <w:t>Graf 7</w:t>
      </w:r>
      <w:r>
        <w:fldChar w:fldCharType="end"/>
      </w:r>
      <w:r>
        <w:t>.</w:t>
      </w:r>
    </w:p>
    <w:p w:rsidR="00486ACB" w:rsidRPr="00FD54F4" w:rsidRDefault="005C5830" w:rsidP="00296EE7">
      <w:pPr>
        <w:ind w:hanging="141"/>
        <w:jc w:val="both"/>
      </w:pPr>
      <w:r>
        <w:pict w14:anchorId="7E0E050E">
          <v:shape id="_x0000_i1031" type="#_x0000_t75" style="width:435pt;height:244.5pt;mso-left-percent:-10001;mso-top-percent:-10001;mso-position-horizontal:absolute;mso-position-horizontal-relative:char;mso-position-vertical:absolute;mso-position-vertical-relative:line;mso-left-percent:-10001;mso-top-percent:-10001">
            <v:imagedata r:id="rId18" o:title=""/>
          </v:shape>
        </w:pict>
      </w:r>
    </w:p>
    <w:p w:rsidR="00486ACB" w:rsidRDefault="00486ACB" w:rsidP="00455864">
      <w:pPr>
        <w:pStyle w:val="Titulek"/>
      </w:pPr>
      <w:bookmarkStart w:id="17" w:name="_Ref291569750"/>
      <w:r>
        <w:t xml:space="preserve">Graf </w:t>
      </w:r>
      <w:r w:rsidR="005C5830">
        <w:fldChar w:fldCharType="begin"/>
      </w:r>
      <w:r w:rsidR="005C5830">
        <w:instrText xml:space="preserve"> SEQ Graf \* ARABIC </w:instrText>
      </w:r>
      <w:r w:rsidR="005C5830">
        <w:fldChar w:fldCharType="separate"/>
      </w:r>
      <w:r w:rsidR="00000ECA">
        <w:rPr>
          <w:noProof/>
        </w:rPr>
        <w:t>7</w:t>
      </w:r>
      <w:r w:rsidR="005C5830">
        <w:rPr>
          <w:noProof/>
        </w:rPr>
        <w:fldChar w:fldCharType="end"/>
      </w:r>
      <w:bookmarkEnd w:id="17"/>
      <w:r>
        <w:t xml:space="preserve"> – Příspěvky resortů k úspoře dosažené v roce 201</w:t>
      </w:r>
      <w:r w:rsidR="002F0292">
        <w:t>3</w:t>
      </w:r>
    </w:p>
    <w:p w:rsidR="00486ACB" w:rsidRPr="00FB6028" w:rsidRDefault="00486ACB" w:rsidP="00FB6028">
      <w:pPr>
        <w:pStyle w:val="MainText"/>
      </w:pPr>
    </w:p>
    <w:p w:rsidR="00486ACB" w:rsidRDefault="00486ACB" w:rsidP="00832BB7">
      <w:pPr>
        <w:pStyle w:val="Nadpis1"/>
        <w:pageBreakBefore w:val="0"/>
      </w:pPr>
      <w:bookmarkStart w:id="18" w:name="_Toc356781711"/>
      <w:r>
        <w:t>Návrh dalšího postupu</w:t>
      </w:r>
      <w:bookmarkEnd w:id="18"/>
    </w:p>
    <w:p w:rsidR="00486ACB" w:rsidRDefault="00486ACB" w:rsidP="00E03F86">
      <w:pPr>
        <w:ind w:left="142"/>
        <w:jc w:val="both"/>
      </w:pPr>
      <w:r>
        <w:t>V roce 201</w:t>
      </w:r>
      <w:r w:rsidR="00CF4EEC">
        <w:t>3</w:t>
      </w:r>
      <w:r>
        <w:t xml:space="preserve"> byl systém monitorování spotřeby vybraných vládních objektů provozován v souladu s nastavenými pravidly. </w:t>
      </w:r>
    </w:p>
    <w:p w:rsidR="00486ACB" w:rsidRDefault="00486ACB" w:rsidP="00E03F86">
      <w:pPr>
        <w:ind w:left="142"/>
        <w:jc w:val="both"/>
      </w:pPr>
      <w:r>
        <w:t>S ohledem na dlouhodobé výsledky monitorování vybraného vzorku objektů centrálních vládních orgánů a nabyté zkušenosti v této oblasti je vhodný č</w:t>
      </w:r>
      <w:r w:rsidR="00C965F8">
        <w:t>as pro rozšíření systému na</w:t>
      </w:r>
      <w:r w:rsidR="00FB0DD7">
        <w:t> </w:t>
      </w:r>
      <w:r w:rsidR="00C965F8">
        <w:t>větší</w:t>
      </w:r>
      <w:r>
        <w:t xml:space="preserve"> portfolio objektů v majetku centrálních orgánů a institucí vládní správy. Centralizovaný přehled o stavu a efektivnosti provozování objek</w:t>
      </w:r>
      <w:r w:rsidR="00C965F8">
        <w:t>tů v majetku státu je důležitý také</w:t>
      </w:r>
      <w:r>
        <w:t xml:space="preserve"> pro plnění závazků ČR v souvislosti s direkti</w:t>
      </w:r>
      <w:r w:rsidR="00DC40C7">
        <w:t>vou EU, zejména v souvislosti s článkem 5</w:t>
      </w:r>
      <w:r>
        <w:t xml:space="preserve"> </w:t>
      </w:r>
      <w:r w:rsidR="00DC40C7">
        <w:t>Směrnice</w:t>
      </w:r>
      <w:r>
        <w:t xml:space="preserve"> EU o energetické účinnosti.</w:t>
      </w:r>
    </w:p>
    <w:p w:rsidR="00DC40C7" w:rsidRDefault="00DC40C7" w:rsidP="00E03F86">
      <w:pPr>
        <w:ind w:left="142"/>
        <w:jc w:val="both"/>
      </w:pPr>
      <w:r>
        <w:t>Článek 5 nařizuje členským státům, aby průběžně pracovaly na zvyšování energetické účinnosti budov ve svém majetku a dosáhly rekonstrukcí svého majetku či alternativním způsobem úspory energie odpovídající úspoře dosažené rekonstrukcí 3% energeticky vztažné plochy objektů nesplňujících požadavky na energetickou účinnost budov.</w:t>
      </w:r>
    </w:p>
    <w:p w:rsidR="00C965F8" w:rsidRDefault="00C965F8" w:rsidP="00E03F86">
      <w:pPr>
        <w:ind w:left="142"/>
        <w:jc w:val="both"/>
      </w:pPr>
      <w:r>
        <w:t xml:space="preserve">Pro účely plnění </w:t>
      </w:r>
      <w:r w:rsidR="00DC40C7">
        <w:t>požadavků článku 5 S</w:t>
      </w:r>
      <w:r>
        <w:t>měrni</w:t>
      </w:r>
      <w:r w:rsidR="009432DE">
        <w:t>ce</w:t>
      </w:r>
      <w:r>
        <w:t xml:space="preserve"> bylo vybráno </w:t>
      </w:r>
      <w:r w:rsidR="00A10E0C">
        <w:t xml:space="preserve">cca 40 </w:t>
      </w:r>
      <w:r w:rsidR="00DC40C7">
        <w:t>institucí</w:t>
      </w:r>
      <w:r w:rsidR="009432DE">
        <w:t>, které užívají cca. 500 objektů různého, převážně administrativního charakteru. Tyto objekty bude třeba po dobu 6 let monitorovat, plánovat jejich rekonstrukce, verifikovat dosažené přínosy a ty následně reportovat Evropské komisi. Většina objektů monitorovaných v současnosti je přitom zároveň na seznamu objektů, jichž se článek 5 mandatorně týká.</w:t>
      </w:r>
    </w:p>
    <w:p w:rsidR="009432DE" w:rsidRDefault="0002001B" w:rsidP="00E03F86">
      <w:pPr>
        <w:ind w:left="142"/>
        <w:jc w:val="both"/>
      </w:pPr>
      <w:r>
        <w:t>V této souvislosti se nabízí varianta rozšířit současný systém monitorování energetické náročnosti objektů centrálních státních institucí na výše zmiňovaný soubor objektů povinně zařazených na seznam v souvislosti článkem 5 a využít tak stávající systém, zkušenosti a</w:t>
      </w:r>
      <w:r w:rsidR="00FB0DD7">
        <w:t> </w:t>
      </w:r>
      <w:r>
        <w:t>fungující pracovní skupinu pro splnění povinností souvisejících s plněním příkladné úlohy budov veřejných subjektů.</w:t>
      </w:r>
    </w:p>
    <w:p w:rsidR="00486ACB" w:rsidRDefault="00486ACB" w:rsidP="00CD2EEF">
      <w:pPr>
        <w:pStyle w:val="Nadpis1"/>
      </w:pPr>
      <w:bookmarkStart w:id="19" w:name="_Toc356781712"/>
      <w:r w:rsidRPr="00C01596">
        <w:t>Závěr</w:t>
      </w:r>
      <w:bookmarkEnd w:id="19"/>
    </w:p>
    <w:p w:rsidR="00486ACB" w:rsidRDefault="00486ACB" w:rsidP="009921C1">
      <w:pPr>
        <w:ind w:left="142"/>
        <w:jc w:val="both"/>
      </w:pPr>
      <w:r>
        <w:t>Systém monitorování spotřeby energie ve vybraných objektech vládních budov je provozován v soul</w:t>
      </w:r>
      <w:r w:rsidR="0002001B">
        <w:t>adu s plánem. Výsledky roku 2013</w:t>
      </w:r>
      <w:r>
        <w:t xml:space="preserve"> lze hodnotit jako úspěšné. V prů</w:t>
      </w:r>
      <w:r w:rsidR="0002001B">
        <w:t>běhu roku 2013</w:t>
      </w:r>
      <w:r>
        <w:t xml:space="preserve"> se dařilo plnit všechny vytyčené hlavní cíle:</w:t>
      </w:r>
    </w:p>
    <w:p w:rsidR="00486ACB" w:rsidRPr="009F1E80" w:rsidRDefault="00486ACB" w:rsidP="009921C1">
      <w:pPr>
        <w:numPr>
          <w:ilvl w:val="0"/>
          <w:numId w:val="9"/>
        </w:numPr>
        <w:tabs>
          <w:tab w:val="clear" w:pos="720"/>
          <w:tab w:val="num" w:pos="426"/>
        </w:tabs>
        <w:ind w:left="142" w:firstLine="0"/>
        <w:jc w:val="both"/>
      </w:pPr>
      <w:r w:rsidRPr="009F1E80">
        <w:t xml:space="preserve">Dosažené </w:t>
      </w:r>
      <w:r w:rsidR="005C5830">
        <w:t xml:space="preserve">roční </w:t>
      </w:r>
      <w:r w:rsidRPr="009F1E80">
        <w:t xml:space="preserve">úspory </w:t>
      </w:r>
      <w:r w:rsidR="005C5830">
        <w:t xml:space="preserve">(11,7 mil. Kč) </w:t>
      </w:r>
      <w:r>
        <w:t>výrazně</w:t>
      </w:r>
      <w:r w:rsidRPr="009F1E80">
        <w:t xml:space="preserve"> převyšují náklady na provoz Systému </w:t>
      </w:r>
      <w:r w:rsidR="005C5830">
        <w:t>monitorování spotřeby energie</w:t>
      </w:r>
      <w:r w:rsidRPr="009F1E80">
        <w:t xml:space="preserve"> ve</w:t>
      </w:r>
      <w:r w:rsidR="009921C1">
        <w:t> </w:t>
      </w:r>
      <w:r w:rsidRPr="009F1E80">
        <w:t>vybraných objektech vládních institucí</w:t>
      </w:r>
      <w:r w:rsidR="005C5830">
        <w:t xml:space="preserve"> (0,4 mil. Kč).</w:t>
      </w:r>
    </w:p>
    <w:p w:rsidR="00486ACB" w:rsidRDefault="0002001B" w:rsidP="009921C1">
      <w:pPr>
        <w:numPr>
          <w:ilvl w:val="0"/>
          <w:numId w:val="9"/>
        </w:numPr>
        <w:tabs>
          <w:tab w:val="clear" w:pos="720"/>
          <w:tab w:val="num" w:pos="426"/>
        </w:tabs>
        <w:ind w:left="142" w:firstLine="0"/>
        <w:jc w:val="both"/>
      </w:pPr>
      <w:r>
        <w:t>Infrastruktura a metodika</w:t>
      </w:r>
      <w:r w:rsidR="00486ACB">
        <w:t xml:space="preserve"> monitorování spotřeby energie vládních institucí je připravena pro rozšíření systému na </w:t>
      </w:r>
      <w:r>
        <w:t>objekty, jichž se týká článek 5 Směrnice o</w:t>
      </w:r>
      <w:r w:rsidR="00296EE7">
        <w:t> </w:t>
      </w:r>
      <w:r>
        <w:t>energetické účinnosti</w:t>
      </w:r>
      <w:r w:rsidR="005C5830">
        <w:t>.</w:t>
      </w:r>
    </w:p>
    <w:p w:rsidR="00486ACB" w:rsidRPr="009F1E80" w:rsidRDefault="00486ACB" w:rsidP="009921C1">
      <w:pPr>
        <w:numPr>
          <w:ilvl w:val="0"/>
          <w:numId w:val="9"/>
        </w:numPr>
        <w:tabs>
          <w:tab w:val="clear" w:pos="720"/>
          <w:tab w:val="num" w:pos="426"/>
        </w:tabs>
        <w:ind w:left="142" w:firstLine="0"/>
        <w:jc w:val="both"/>
      </w:pPr>
      <w:r>
        <w:t xml:space="preserve">Resorty aktivně pracují </w:t>
      </w:r>
      <w:r w:rsidR="0002001B">
        <w:t>na realizaci úsporných opatření</w:t>
      </w:r>
      <w:r w:rsidR="005C5830">
        <w:t>.</w:t>
      </w:r>
    </w:p>
    <w:p w:rsidR="00486ACB" w:rsidRPr="009F1E80" w:rsidRDefault="00486ACB" w:rsidP="009921C1">
      <w:pPr>
        <w:numPr>
          <w:ilvl w:val="0"/>
          <w:numId w:val="9"/>
        </w:numPr>
        <w:tabs>
          <w:tab w:val="clear" w:pos="720"/>
          <w:tab w:val="num" w:pos="426"/>
        </w:tabs>
        <w:ind w:left="142" w:firstLine="0"/>
        <w:jc w:val="both"/>
      </w:pPr>
      <w:r w:rsidRPr="009F1E80">
        <w:t>Pravidelný reporting je v jednotné struktuře dostupný všem členům pracovní skupiny a</w:t>
      </w:r>
      <w:r w:rsidR="009921C1">
        <w:t> </w:t>
      </w:r>
      <w:r w:rsidRPr="009F1E80">
        <w:t>sjednocuje tak přístup jednotlivých resortů k problematice energetického řízení</w:t>
      </w:r>
      <w:r w:rsidR="005C5830">
        <w:t>.</w:t>
      </w:r>
    </w:p>
    <w:p w:rsidR="00486ACB" w:rsidRDefault="00486ACB" w:rsidP="009921C1">
      <w:pPr>
        <w:numPr>
          <w:ilvl w:val="0"/>
          <w:numId w:val="9"/>
        </w:numPr>
        <w:tabs>
          <w:tab w:val="clear" w:pos="720"/>
          <w:tab w:val="num" w:pos="426"/>
        </w:tabs>
        <w:ind w:left="142" w:firstLine="0"/>
        <w:jc w:val="both"/>
      </w:pPr>
      <w:r w:rsidRPr="009F1E80">
        <w:t xml:space="preserve">Vytvořená meziresortní pracovní skupina je dobrou platformou pro koordinaci činnosti resortních energetiků v oblasti energetického </w:t>
      </w:r>
      <w:r w:rsidR="0002001B">
        <w:t>managementu</w:t>
      </w:r>
      <w:r w:rsidRPr="009F1E80">
        <w:t xml:space="preserve"> a pro výměnu </w:t>
      </w:r>
      <w:r w:rsidR="00046146">
        <w:t>informací a</w:t>
      </w:r>
      <w:r w:rsidR="009921C1">
        <w:t> </w:t>
      </w:r>
      <w:r w:rsidRPr="009F1E80">
        <w:t>zkušeností</w:t>
      </w:r>
      <w:r w:rsidR="005C5830">
        <w:t>.</w:t>
      </w:r>
    </w:p>
    <w:p w:rsidR="00486ACB" w:rsidRPr="009F1E80" w:rsidRDefault="00486ACB" w:rsidP="009921C1">
      <w:pPr>
        <w:numPr>
          <w:ilvl w:val="0"/>
          <w:numId w:val="9"/>
        </w:numPr>
        <w:tabs>
          <w:tab w:val="clear" w:pos="720"/>
          <w:tab w:val="num" w:pos="426"/>
        </w:tabs>
        <w:ind w:left="142" w:firstLine="0"/>
        <w:jc w:val="both"/>
      </w:pPr>
      <w:r>
        <w:t>Administrátor systému je resortním energetikům k dispozici v roli odborného garanta a</w:t>
      </w:r>
      <w:r w:rsidR="009921C1">
        <w:t> </w:t>
      </w:r>
      <w:r>
        <w:t>pomáhá jim řešit problémy, se kterými se na něj obracejí</w:t>
      </w:r>
      <w:r w:rsidR="005C5830">
        <w:t>.</w:t>
      </w:r>
      <w:bookmarkStart w:id="20" w:name="_GoBack"/>
      <w:bookmarkEnd w:id="20"/>
    </w:p>
    <w:p w:rsidR="00486ACB" w:rsidRDefault="00486ACB" w:rsidP="009921C1">
      <w:pPr>
        <w:ind w:left="142"/>
        <w:jc w:val="both"/>
      </w:pPr>
      <w:r>
        <w:t>Na základě výše uvedeného hodnocení doporučujeme systém monitorování spotřeby energie nadále provozovat a rozvíjet ve smyslu návrhu postupu uvedeného v předchozí kapitole.</w:t>
      </w:r>
    </w:p>
    <w:sectPr w:rsidR="00486ACB" w:rsidSect="00000ECA">
      <w:headerReference w:type="default" r:id="rId19"/>
      <w:pgSz w:w="11906" w:h="16838"/>
      <w:pgMar w:top="993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FD4" w:rsidRDefault="00AF6FD4">
      <w:r>
        <w:separator/>
      </w:r>
    </w:p>
  </w:endnote>
  <w:endnote w:type="continuationSeparator" w:id="0">
    <w:p w:rsidR="00AF6FD4" w:rsidRDefault="00AF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CA" w:rsidRDefault="00000ECA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5C5830">
      <w:rPr>
        <w:noProof/>
      </w:rPr>
      <w:t>9</w:t>
    </w:r>
    <w:r>
      <w:fldChar w:fldCharType="end"/>
    </w:r>
  </w:p>
  <w:p w:rsidR="00000ECA" w:rsidRDefault="00000EC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CA" w:rsidRDefault="00000ECA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5C5830">
      <w:rPr>
        <w:noProof/>
      </w:rPr>
      <w:t>1</w:t>
    </w:r>
    <w:r>
      <w:fldChar w:fldCharType="end"/>
    </w:r>
  </w:p>
  <w:p w:rsidR="00000ECA" w:rsidRDefault="00000E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FD4" w:rsidRDefault="00AF6FD4">
      <w:r>
        <w:separator/>
      </w:r>
    </w:p>
  </w:footnote>
  <w:footnote w:type="continuationSeparator" w:id="0">
    <w:p w:rsidR="00AF6FD4" w:rsidRDefault="00AF6FD4">
      <w:r>
        <w:continuationSeparator/>
      </w:r>
    </w:p>
  </w:footnote>
  <w:footnote w:id="1">
    <w:p w:rsidR="00C965F8" w:rsidRDefault="00C965F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64ECA">
        <w:t xml:space="preserve">o vyhodnocení Státního programu na podporu úspor energie a využití obnovitelných zdrojů energie pro rok </w:t>
      </w:r>
      <w:smartTag w:uri="urn:schemas-microsoft-com:office:smarttags" w:element="metricconverter">
        <w:smartTagPr>
          <w:attr w:name="ProductID" w:val="2006 a"/>
        </w:smartTagPr>
        <w:r w:rsidRPr="00E64ECA">
          <w:t>2006 a</w:t>
        </w:r>
      </w:smartTag>
      <w:r w:rsidRPr="00E64ECA">
        <w:t xml:space="preserve"> Analýze efektivnosti a účinnosti Státního programu na podporu úspor energie a vyššího využití obnovitelných zdrojů energie za uplynulé období</w:t>
      </w:r>
    </w:p>
  </w:footnote>
  <w:footnote w:id="2">
    <w:p w:rsidR="00C965F8" w:rsidRDefault="00C965F8">
      <w:pPr>
        <w:pStyle w:val="Textpoznpodarou"/>
      </w:pPr>
      <w:r>
        <w:rPr>
          <w:rStyle w:val="Znakapoznpodarou"/>
        </w:rPr>
        <w:footnoteRef/>
      </w:r>
      <w:r>
        <w:t xml:space="preserve"> Kumulované úspory energie zohledňují pouze přínosy v oblasti úspory množství spotřebované energie. Úspory dosažené snížením ceny nakupované energie je třeba k dodatečně přičíst.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5F8" w:rsidRDefault="005C5830"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20.75pt;margin-top:88.1pt;width:407.4pt;height:19.75pt;z-index:-251658240;mso-position-horizontal-relative:page;mso-position-vertical-relative:page" filled="f" stroked="f">
          <v:textbox style="mso-next-textbox:#_x0000_s2051" inset="0,0,0,0">
            <w:txbxContent>
              <w:p w:rsidR="00C965F8" w:rsidRDefault="00C965F8">
                <w:pPr>
                  <w:jc w:val="right"/>
                  <w:rPr>
                    <w:rFonts w:ascii="Arial" w:hAnsi="Arial" w:cs="Arial"/>
                    <w:b/>
                    <w:caps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caps/>
                    <w:sz w:val="16"/>
                    <w:szCs w:val="16"/>
                  </w:rPr>
                  <w:t>OBSAH</w:t>
                </w:r>
              </w:p>
              <w:p w:rsidR="00C965F8" w:rsidRDefault="00C965F8"/>
            </w:txbxContent>
          </v:textbox>
          <w10:wrap anchorx="page" anchory="page"/>
        </v:shape>
      </w:pict>
    </w:r>
  </w:p>
  <w:p w:rsidR="00C965F8" w:rsidRDefault="00C965F8">
    <w:pPr>
      <w:pStyle w:val="Zhlav"/>
      <w:tabs>
        <w:tab w:val="clear" w:pos="4153"/>
        <w:tab w:val="clear" w:pos="8306"/>
        <w:tab w:val="left" w:pos="5267"/>
      </w:tabs>
    </w:pPr>
    <w:r>
      <w:tab/>
    </w:r>
  </w:p>
  <w:p w:rsidR="00C965F8" w:rsidRDefault="00C965F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5F8" w:rsidRDefault="005C5830" w:rsidP="008A6ABE">
    <w:pPr>
      <w:jc w:val="righ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99.75pt;margin-top:32.25pt;width:407.4pt;height:19.75pt;z-index:-251657216;mso-position-horizontal-relative:page;mso-position-vertical-relative:page" filled="f" stroked="f">
          <v:textbox style="mso-next-textbox:#_x0000_s2052" inset="0,0,0,0">
            <w:txbxContent>
              <w:p w:rsidR="00C965F8" w:rsidRPr="008A6ABE" w:rsidRDefault="00C965F8" w:rsidP="008A6ABE">
                <w:pPr>
                  <w:jc w:val="right"/>
                  <w:rPr>
                    <w:rFonts w:ascii="Arial" w:hAnsi="Arial" w:cs="Arial"/>
                    <w:b/>
                    <w:caps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37D4"/>
    <w:multiLevelType w:val="hybridMultilevel"/>
    <w:tmpl w:val="161EC8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03395D"/>
    <w:multiLevelType w:val="multilevel"/>
    <w:tmpl w:val="2284764C"/>
    <w:lvl w:ilvl="0">
      <w:start w:val="1"/>
      <w:numFmt w:val="decimal"/>
      <w:pStyle w:val="FigureHeading"/>
      <w:lvlText w:val="Obrázek %1:"/>
      <w:lvlJc w:val="left"/>
      <w:pPr>
        <w:tabs>
          <w:tab w:val="num" w:pos="2367"/>
        </w:tabs>
        <w:ind w:left="1272" w:hanging="705"/>
      </w:pPr>
      <w:rPr>
        <w:rFonts w:ascii="Arial" w:hAnsi="Arial" w:cs="Times New Roman" w:hint="default"/>
        <w:b/>
        <w:i w:val="0"/>
      </w:rPr>
    </w:lvl>
    <w:lvl w:ilvl="1">
      <w:start w:val="2"/>
      <w:numFmt w:val="decimal"/>
      <w:lvlText w:val="2.%2"/>
      <w:lvlJc w:val="left"/>
      <w:pPr>
        <w:tabs>
          <w:tab w:val="num" w:pos="1975"/>
        </w:tabs>
        <w:ind w:left="1975" w:hanging="705"/>
      </w:pPr>
      <w:rPr>
        <w:rFonts w:cs="Times New Roman" w:hint="default"/>
      </w:rPr>
    </w:lvl>
    <w:lvl w:ilvl="2">
      <w:start w:val="1"/>
      <w:numFmt w:val="decimal"/>
      <w:lvlText w:val="2.%2.%3"/>
      <w:lvlJc w:val="left"/>
      <w:pPr>
        <w:tabs>
          <w:tab w:val="num" w:pos="2693"/>
        </w:tabs>
        <w:ind w:left="2693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96"/>
        </w:tabs>
        <w:ind w:left="339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59"/>
        </w:tabs>
        <w:ind w:left="4459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162"/>
        </w:tabs>
        <w:ind w:left="5162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225"/>
        </w:tabs>
        <w:ind w:left="622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28"/>
        </w:tabs>
        <w:ind w:left="69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91"/>
        </w:tabs>
        <w:ind w:left="7991" w:hanging="1800"/>
      </w:pPr>
      <w:rPr>
        <w:rFonts w:cs="Times New Roman" w:hint="default"/>
      </w:rPr>
    </w:lvl>
  </w:abstractNum>
  <w:abstractNum w:abstractNumId="2">
    <w:nsid w:val="1C342E49"/>
    <w:multiLevelType w:val="hybridMultilevel"/>
    <w:tmpl w:val="B7780222"/>
    <w:lvl w:ilvl="0" w:tplc="3CE20ED4">
      <w:start w:val="1"/>
      <w:numFmt w:val="decimal"/>
      <w:pStyle w:val="NumberText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26FF49B3"/>
    <w:multiLevelType w:val="hybridMultilevel"/>
    <w:tmpl w:val="C3AAF6E2"/>
    <w:lvl w:ilvl="0" w:tplc="A678CEB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3CE60691"/>
    <w:multiLevelType w:val="hybridMultilevel"/>
    <w:tmpl w:val="36A82706"/>
    <w:lvl w:ilvl="0" w:tplc="948069A0">
      <w:start w:val="1"/>
      <w:numFmt w:val="bullet"/>
      <w:pStyle w:val="BulletText"/>
      <w:lvlText w:val="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  <w:sz w:val="14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491B60FB"/>
    <w:multiLevelType w:val="hybridMultilevel"/>
    <w:tmpl w:val="25ACBB06"/>
    <w:lvl w:ilvl="0" w:tplc="D36C8F76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4F071169"/>
    <w:multiLevelType w:val="multilevel"/>
    <w:tmpl w:val="C2ACB1EC"/>
    <w:lvl w:ilvl="0">
      <w:start w:val="1"/>
      <w:numFmt w:val="decimal"/>
      <w:pStyle w:val="Nadpis1"/>
      <w:lvlText w:val="%1."/>
      <w:lvlJc w:val="left"/>
      <w:pPr>
        <w:tabs>
          <w:tab w:val="num" w:pos="1494"/>
        </w:tabs>
        <w:ind w:left="1134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854"/>
        </w:tabs>
        <w:ind w:left="1134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854"/>
        </w:tabs>
        <w:ind w:left="1134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854"/>
        </w:tabs>
        <w:ind w:left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21"/>
        </w:tabs>
        <w:ind w:left="3933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41"/>
        </w:tabs>
        <w:ind w:left="443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01"/>
        </w:tabs>
        <w:ind w:left="494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21"/>
        </w:tabs>
        <w:ind w:left="544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81"/>
        </w:tabs>
        <w:ind w:left="6021" w:hanging="1440"/>
      </w:pPr>
      <w:rPr>
        <w:rFonts w:cs="Times New Roman" w:hint="default"/>
      </w:rPr>
    </w:lvl>
  </w:abstractNum>
  <w:abstractNum w:abstractNumId="7">
    <w:nsid w:val="4F7C2002"/>
    <w:multiLevelType w:val="multilevel"/>
    <w:tmpl w:val="F9107654"/>
    <w:lvl w:ilvl="0">
      <w:start w:val="1"/>
      <w:numFmt w:val="decimal"/>
      <w:pStyle w:val="TableHeading"/>
      <w:lvlText w:val="Tabulka %1:"/>
      <w:lvlJc w:val="left"/>
      <w:pPr>
        <w:tabs>
          <w:tab w:val="num" w:pos="1647"/>
        </w:tabs>
        <w:ind w:left="567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60CC4073"/>
    <w:multiLevelType w:val="multilevel"/>
    <w:tmpl w:val="55AAB56E"/>
    <w:lvl w:ilvl="0">
      <w:start w:val="1"/>
      <w:numFmt w:val="decimal"/>
      <w:pStyle w:val="AppendixNo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78"/>
        </w:tabs>
        <w:ind w:left="778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9">
    <w:nsid w:val="671C77A4"/>
    <w:multiLevelType w:val="hybridMultilevel"/>
    <w:tmpl w:val="3F005E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6"/>
  </w:num>
  <w:num w:numId="8">
    <w:abstractNumId w:val="0"/>
  </w:num>
  <w:num w:numId="9">
    <w:abstractNumId w:val="9"/>
  </w:num>
  <w:num w:numId="10">
    <w:abstractNumId w:val="5"/>
  </w:num>
  <w:num w:numId="1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6761"/>
    <w:rsid w:val="00000ECA"/>
    <w:rsid w:val="00005C7A"/>
    <w:rsid w:val="00007CE6"/>
    <w:rsid w:val="0002001B"/>
    <w:rsid w:val="00030EE5"/>
    <w:rsid w:val="00041C23"/>
    <w:rsid w:val="00046146"/>
    <w:rsid w:val="000659A8"/>
    <w:rsid w:val="00075398"/>
    <w:rsid w:val="00087242"/>
    <w:rsid w:val="000A7287"/>
    <w:rsid w:val="000B330D"/>
    <w:rsid w:val="000B6753"/>
    <w:rsid w:val="000C2585"/>
    <w:rsid w:val="000C5DBD"/>
    <w:rsid w:val="000E55C2"/>
    <w:rsid w:val="000F0EF1"/>
    <w:rsid w:val="000F6AE8"/>
    <w:rsid w:val="00101514"/>
    <w:rsid w:val="00112B5F"/>
    <w:rsid w:val="00113ADE"/>
    <w:rsid w:val="00130354"/>
    <w:rsid w:val="00145CF2"/>
    <w:rsid w:val="00155F84"/>
    <w:rsid w:val="0018471A"/>
    <w:rsid w:val="00196E32"/>
    <w:rsid w:val="001A6158"/>
    <w:rsid w:val="001D2D0B"/>
    <w:rsid w:val="001F2130"/>
    <w:rsid w:val="002258CF"/>
    <w:rsid w:val="00262C7B"/>
    <w:rsid w:val="00265FC9"/>
    <w:rsid w:val="0027413F"/>
    <w:rsid w:val="002766D5"/>
    <w:rsid w:val="00284591"/>
    <w:rsid w:val="002915E4"/>
    <w:rsid w:val="00296EE7"/>
    <w:rsid w:val="002C5298"/>
    <w:rsid w:val="002D3E85"/>
    <w:rsid w:val="002D4C4D"/>
    <w:rsid w:val="002D5D00"/>
    <w:rsid w:val="002F0292"/>
    <w:rsid w:val="003060A5"/>
    <w:rsid w:val="00314114"/>
    <w:rsid w:val="0033497A"/>
    <w:rsid w:val="00353170"/>
    <w:rsid w:val="003540AC"/>
    <w:rsid w:val="00362BB3"/>
    <w:rsid w:val="003750B2"/>
    <w:rsid w:val="0038405A"/>
    <w:rsid w:val="00384F00"/>
    <w:rsid w:val="00390CC1"/>
    <w:rsid w:val="003A56ED"/>
    <w:rsid w:val="003A5D43"/>
    <w:rsid w:val="003A79B9"/>
    <w:rsid w:val="003B6598"/>
    <w:rsid w:val="003C663A"/>
    <w:rsid w:val="003C7833"/>
    <w:rsid w:val="003D238C"/>
    <w:rsid w:val="003D23FC"/>
    <w:rsid w:val="003D72D6"/>
    <w:rsid w:val="003F3A02"/>
    <w:rsid w:val="0040026D"/>
    <w:rsid w:val="00400A18"/>
    <w:rsid w:val="0041306E"/>
    <w:rsid w:val="004140A6"/>
    <w:rsid w:val="00415E1E"/>
    <w:rsid w:val="004462F5"/>
    <w:rsid w:val="004523ED"/>
    <w:rsid w:val="00455864"/>
    <w:rsid w:val="0048173A"/>
    <w:rsid w:val="00486ACB"/>
    <w:rsid w:val="00490B80"/>
    <w:rsid w:val="004A7FE9"/>
    <w:rsid w:val="004B495B"/>
    <w:rsid w:val="004E5F76"/>
    <w:rsid w:val="004F1443"/>
    <w:rsid w:val="00500D60"/>
    <w:rsid w:val="0050712D"/>
    <w:rsid w:val="00512319"/>
    <w:rsid w:val="00513581"/>
    <w:rsid w:val="005235A9"/>
    <w:rsid w:val="00527007"/>
    <w:rsid w:val="005312E8"/>
    <w:rsid w:val="005544A5"/>
    <w:rsid w:val="00555869"/>
    <w:rsid w:val="00571999"/>
    <w:rsid w:val="005726D5"/>
    <w:rsid w:val="00574F75"/>
    <w:rsid w:val="00576C6F"/>
    <w:rsid w:val="00576C8A"/>
    <w:rsid w:val="005848E4"/>
    <w:rsid w:val="00595F34"/>
    <w:rsid w:val="005B45A1"/>
    <w:rsid w:val="005C1FEA"/>
    <w:rsid w:val="005C5830"/>
    <w:rsid w:val="005C717B"/>
    <w:rsid w:val="005D5C1E"/>
    <w:rsid w:val="005E734B"/>
    <w:rsid w:val="005F4830"/>
    <w:rsid w:val="005F6CF4"/>
    <w:rsid w:val="00600055"/>
    <w:rsid w:val="0061198F"/>
    <w:rsid w:val="00630D48"/>
    <w:rsid w:val="0063236D"/>
    <w:rsid w:val="006341BA"/>
    <w:rsid w:val="00636509"/>
    <w:rsid w:val="00646EB3"/>
    <w:rsid w:val="006611C7"/>
    <w:rsid w:val="006702A2"/>
    <w:rsid w:val="00684102"/>
    <w:rsid w:val="00692353"/>
    <w:rsid w:val="00696AAA"/>
    <w:rsid w:val="006A72B8"/>
    <w:rsid w:val="006C5035"/>
    <w:rsid w:val="006C5286"/>
    <w:rsid w:val="006D188A"/>
    <w:rsid w:val="006D2720"/>
    <w:rsid w:val="006D4689"/>
    <w:rsid w:val="006E1272"/>
    <w:rsid w:val="006E206F"/>
    <w:rsid w:val="00717AA0"/>
    <w:rsid w:val="007648D0"/>
    <w:rsid w:val="00770710"/>
    <w:rsid w:val="00775FDC"/>
    <w:rsid w:val="007771FB"/>
    <w:rsid w:val="00780999"/>
    <w:rsid w:val="007A270C"/>
    <w:rsid w:val="007A4AA4"/>
    <w:rsid w:val="007B6289"/>
    <w:rsid w:val="007D3406"/>
    <w:rsid w:val="007D34DE"/>
    <w:rsid w:val="007F5727"/>
    <w:rsid w:val="00832BB7"/>
    <w:rsid w:val="008464AA"/>
    <w:rsid w:val="008546F9"/>
    <w:rsid w:val="00886751"/>
    <w:rsid w:val="008A6ABE"/>
    <w:rsid w:val="008B0948"/>
    <w:rsid w:val="008B7601"/>
    <w:rsid w:val="008B7E22"/>
    <w:rsid w:val="008C3AB8"/>
    <w:rsid w:val="008C5C52"/>
    <w:rsid w:val="008D20D3"/>
    <w:rsid w:val="008D24DE"/>
    <w:rsid w:val="008E293C"/>
    <w:rsid w:val="009157EE"/>
    <w:rsid w:val="00917BC3"/>
    <w:rsid w:val="00920992"/>
    <w:rsid w:val="00926990"/>
    <w:rsid w:val="00934A22"/>
    <w:rsid w:val="00937ACC"/>
    <w:rsid w:val="009432DE"/>
    <w:rsid w:val="00952FD0"/>
    <w:rsid w:val="009637D4"/>
    <w:rsid w:val="00973C6D"/>
    <w:rsid w:val="0097458E"/>
    <w:rsid w:val="009921C1"/>
    <w:rsid w:val="00996CFA"/>
    <w:rsid w:val="009B0001"/>
    <w:rsid w:val="009B573F"/>
    <w:rsid w:val="009C2872"/>
    <w:rsid w:val="009C2C8E"/>
    <w:rsid w:val="009C3689"/>
    <w:rsid w:val="009C4FE7"/>
    <w:rsid w:val="009D7710"/>
    <w:rsid w:val="009E58A3"/>
    <w:rsid w:val="009F07CB"/>
    <w:rsid w:val="009F1E80"/>
    <w:rsid w:val="009F7815"/>
    <w:rsid w:val="00A05A95"/>
    <w:rsid w:val="00A06410"/>
    <w:rsid w:val="00A10E0C"/>
    <w:rsid w:val="00A35C48"/>
    <w:rsid w:val="00A373AC"/>
    <w:rsid w:val="00A379B1"/>
    <w:rsid w:val="00A37A19"/>
    <w:rsid w:val="00A447B7"/>
    <w:rsid w:val="00A511C9"/>
    <w:rsid w:val="00A63167"/>
    <w:rsid w:val="00A6663C"/>
    <w:rsid w:val="00A72B1E"/>
    <w:rsid w:val="00A73159"/>
    <w:rsid w:val="00A75419"/>
    <w:rsid w:val="00A758EC"/>
    <w:rsid w:val="00A935E2"/>
    <w:rsid w:val="00AA3BF5"/>
    <w:rsid w:val="00AB5CCB"/>
    <w:rsid w:val="00AC77E4"/>
    <w:rsid w:val="00AD4B85"/>
    <w:rsid w:val="00AF6FD4"/>
    <w:rsid w:val="00B00CD8"/>
    <w:rsid w:val="00B307CE"/>
    <w:rsid w:val="00B51188"/>
    <w:rsid w:val="00B53852"/>
    <w:rsid w:val="00B734ED"/>
    <w:rsid w:val="00B82D28"/>
    <w:rsid w:val="00B864F7"/>
    <w:rsid w:val="00B87D7A"/>
    <w:rsid w:val="00BB3C1C"/>
    <w:rsid w:val="00BB724B"/>
    <w:rsid w:val="00C00C74"/>
    <w:rsid w:val="00C01596"/>
    <w:rsid w:val="00C14632"/>
    <w:rsid w:val="00C43CB8"/>
    <w:rsid w:val="00C43EF2"/>
    <w:rsid w:val="00C51BF6"/>
    <w:rsid w:val="00C66761"/>
    <w:rsid w:val="00C66C3C"/>
    <w:rsid w:val="00C670A7"/>
    <w:rsid w:val="00C8193F"/>
    <w:rsid w:val="00C83F0F"/>
    <w:rsid w:val="00C848ED"/>
    <w:rsid w:val="00C92EEA"/>
    <w:rsid w:val="00C965F8"/>
    <w:rsid w:val="00CA0C46"/>
    <w:rsid w:val="00CA3084"/>
    <w:rsid w:val="00CA4712"/>
    <w:rsid w:val="00CB5883"/>
    <w:rsid w:val="00CD2EEF"/>
    <w:rsid w:val="00CD3BE4"/>
    <w:rsid w:val="00CD5DBF"/>
    <w:rsid w:val="00CD7583"/>
    <w:rsid w:val="00CD7A11"/>
    <w:rsid w:val="00CE4963"/>
    <w:rsid w:val="00CF4EEC"/>
    <w:rsid w:val="00D01651"/>
    <w:rsid w:val="00D028AE"/>
    <w:rsid w:val="00D06060"/>
    <w:rsid w:val="00D22031"/>
    <w:rsid w:val="00D22E68"/>
    <w:rsid w:val="00D27720"/>
    <w:rsid w:val="00D30F39"/>
    <w:rsid w:val="00D3401A"/>
    <w:rsid w:val="00D371A3"/>
    <w:rsid w:val="00D46CEA"/>
    <w:rsid w:val="00D52B58"/>
    <w:rsid w:val="00D64941"/>
    <w:rsid w:val="00D9194F"/>
    <w:rsid w:val="00DA7D7A"/>
    <w:rsid w:val="00DB47C0"/>
    <w:rsid w:val="00DC40C7"/>
    <w:rsid w:val="00DC4953"/>
    <w:rsid w:val="00DC7CEF"/>
    <w:rsid w:val="00DD6CAA"/>
    <w:rsid w:val="00DE0F8F"/>
    <w:rsid w:val="00DE2709"/>
    <w:rsid w:val="00DE6F3B"/>
    <w:rsid w:val="00DE72E7"/>
    <w:rsid w:val="00DE77CB"/>
    <w:rsid w:val="00DF0B5E"/>
    <w:rsid w:val="00DF36A7"/>
    <w:rsid w:val="00DF5474"/>
    <w:rsid w:val="00E036E6"/>
    <w:rsid w:val="00E03F86"/>
    <w:rsid w:val="00E1326C"/>
    <w:rsid w:val="00E436AF"/>
    <w:rsid w:val="00E43FEE"/>
    <w:rsid w:val="00E54057"/>
    <w:rsid w:val="00E613DB"/>
    <w:rsid w:val="00E64ECA"/>
    <w:rsid w:val="00E70A6F"/>
    <w:rsid w:val="00E70E99"/>
    <w:rsid w:val="00E73239"/>
    <w:rsid w:val="00E754F9"/>
    <w:rsid w:val="00E80479"/>
    <w:rsid w:val="00E86151"/>
    <w:rsid w:val="00EA213A"/>
    <w:rsid w:val="00EA500B"/>
    <w:rsid w:val="00EB0286"/>
    <w:rsid w:val="00EC65D8"/>
    <w:rsid w:val="00EC7DE0"/>
    <w:rsid w:val="00EE7C9B"/>
    <w:rsid w:val="00EF093C"/>
    <w:rsid w:val="00EF717B"/>
    <w:rsid w:val="00F005EA"/>
    <w:rsid w:val="00F03A27"/>
    <w:rsid w:val="00F21928"/>
    <w:rsid w:val="00F45B58"/>
    <w:rsid w:val="00F571EC"/>
    <w:rsid w:val="00F81A38"/>
    <w:rsid w:val="00FA2133"/>
    <w:rsid w:val="00FA496C"/>
    <w:rsid w:val="00FB0DD7"/>
    <w:rsid w:val="00FB6028"/>
    <w:rsid w:val="00FC007D"/>
    <w:rsid w:val="00FC0BB4"/>
    <w:rsid w:val="00FD3BF1"/>
    <w:rsid w:val="00FD54F4"/>
    <w:rsid w:val="00FE0115"/>
    <w:rsid w:val="00F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CD2EEF"/>
    <w:pPr>
      <w:spacing w:after="240"/>
      <w:ind w:left="567"/>
    </w:pPr>
    <w:rPr>
      <w:sz w:val="24"/>
      <w:szCs w:val="24"/>
      <w:lang w:eastAsia="en-US"/>
    </w:rPr>
  </w:style>
  <w:style w:type="paragraph" w:styleId="Nadpis1">
    <w:name w:val="heading 1"/>
    <w:basedOn w:val="Normln"/>
    <w:next w:val="MainText"/>
    <w:link w:val="Nadpis1Char"/>
    <w:uiPriority w:val="99"/>
    <w:qFormat/>
    <w:rsid w:val="00265FC9"/>
    <w:pPr>
      <w:keepNext/>
      <w:pageBreakBefore/>
      <w:numPr>
        <w:numId w:val="5"/>
      </w:numPr>
      <w:tabs>
        <w:tab w:val="left" w:pos="567"/>
      </w:tabs>
      <w:jc w:val="both"/>
      <w:outlineLvl w:val="0"/>
    </w:pPr>
    <w:rPr>
      <w:rFonts w:ascii="Arial" w:hAnsi="Arial" w:cs="Arial"/>
      <w:b/>
      <w:bCs/>
      <w:caps/>
      <w:spacing w:val="10"/>
    </w:rPr>
  </w:style>
  <w:style w:type="paragraph" w:styleId="Nadpis2">
    <w:name w:val="heading 2"/>
    <w:basedOn w:val="Normln"/>
    <w:next w:val="MainText"/>
    <w:link w:val="Nadpis2Char"/>
    <w:uiPriority w:val="99"/>
    <w:qFormat/>
    <w:rsid w:val="00DC4953"/>
    <w:pPr>
      <w:keepNext/>
      <w:numPr>
        <w:ilvl w:val="1"/>
        <w:numId w:val="5"/>
      </w:numPr>
      <w:tabs>
        <w:tab w:val="left" w:pos="1259"/>
      </w:tabs>
      <w:spacing w:before="360"/>
      <w:jc w:val="both"/>
      <w:outlineLvl w:val="1"/>
    </w:pPr>
    <w:rPr>
      <w:rFonts w:ascii="Arial" w:hAnsi="Arial" w:cs="Arial"/>
      <w:b/>
      <w:bCs/>
      <w:spacing w:val="10"/>
    </w:rPr>
  </w:style>
  <w:style w:type="paragraph" w:styleId="Nadpis3">
    <w:name w:val="heading 3"/>
    <w:basedOn w:val="Normln"/>
    <w:next w:val="MainText"/>
    <w:link w:val="Nadpis3Char"/>
    <w:uiPriority w:val="99"/>
    <w:qFormat/>
    <w:rsid w:val="00265FC9"/>
    <w:pPr>
      <w:keepNext/>
      <w:numPr>
        <w:ilvl w:val="2"/>
        <w:numId w:val="5"/>
      </w:numPr>
      <w:spacing w:before="240"/>
      <w:jc w:val="both"/>
      <w:outlineLvl w:val="2"/>
    </w:pPr>
    <w:rPr>
      <w:rFonts w:ascii="Arial" w:hAnsi="Arial" w:cs="Arial"/>
      <w:b/>
      <w:bCs/>
      <w:i/>
      <w:spacing w:val="10"/>
      <w:sz w:val="20"/>
    </w:rPr>
  </w:style>
  <w:style w:type="paragraph" w:styleId="Nadpis4">
    <w:name w:val="heading 4"/>
    <w:basedOn w:val="Normln"/>
    <w:next w:val="MainText"/>
    <w:link w:val="Nadpis4Char"/>
    <w:uiPriority w:val="99"/>
    <w:qFormat/>
    <w:rsid w:val="00265FC9"/>
    <w:pPr>
      <w:keepNext/>
      <w:numPr>
        <w:ilvl w:val="3"/>
        <w:numId w:val="5"/>
      </w:numPr>
      <w:spacing w:before="240"/>
      <w:outlineLvl w:val="3"/>
    </w:pPr>
    <w:rPr>
      <w:rFonts w:ascii="Arial" w:hAnsi="Arial" w:cs="Arial"/>
      <w:b/>
      <w:bCs/>
      <w:i/>
      <w:sz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265FC9"/>
    <w:pPr>
      <w:keepNext/>
      <w:outlineLvl w:val="4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rsid w:val="00265FC9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265FC9"/>
    <w:pPr>
      <w:keepNext/>
      <w:spacing w:after="110" w:line="220" w:lineRule="exact"/>
      <w:outlineLvl w:val="6"/>
    </w:pPr>
    <w:rPr>
      <w:rFonts w:ascii="Arial" w:hAnsi="Arial" w:cs="Arial"/>
      <w:b/>
      <w:bCs/>
      <w:sz w:val="22"/>
    </w:rPr>
  </w:style>
  <w:style w:type="paragraph" w:styleId="Nadpis8">
    <w:name w:val="heading 8"/>
    <w:basedOn w:val="Normln"/>
    <w:next w:val="Normln"/>
    <w:link w:val="Nadpis8Char"/>
    <w:uiPriority w:val="99"/>
    <w:qFormat/>
    <w:rsid w:val="00265FC9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265F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07539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semiHidden/>
    <w:locked/>
    <w:rsid w:val="0007539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9"/>
    <w:semiHidden/>
    <w:locked/>
    <w:rsid w:val="00075398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9"/>
    <w:semiHidden/>
    <w:locked/>
    <w:rsid w:val="00075398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9"/>
    <w:semiHidden/>
    <w:locked/>
    <w:rsid w:val="00075398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9"/>
    <w:semiHidden/>
    <w:locked/>
    <w:rsid w:val="00075398"/>
    <w:rPr>
      <w:rFonts w:ascii="Calibri" w:hAnsi="Calibri" w:cs="Times New Roman"/>
      <w:b/>
      <w:bCs/>
      <w:lang w:eastAsia="en-US"/>
    </w:rPr>
  </w:style>
  <w:style w:type="character" w:customStyle="1" w:styleId="Nadpis7Char">
    <w:name w:val="Nadpis 7 Char"/>
    <w:link w:val="Nadpis7"/>
    <w:uiPriority w:val="99"/>
    <w:semiHidden/>
    <w:locked/>
    <w:rsid w:val="00075398"/>
    <w:rPr>
      <w:rFonts w:ascii="Calibri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9"/>
    <w:semiHidden/>
    <w:locked/>
    <w:rsid w:val="00075398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9"/>
    <w:semiHidden/>
    <w:locked/>
    <w:rsid w:val="00075398"/>
    <w:rPr>
      <w:rFonts w:ascii="Cambria" w:hAnsi="Cambria" w:cs="Times New Roman"/>
      <w:lang w:eastAsia="en-US"/>
    </w:rPr>
  </w:style>
  <w:style w:type="paragraph" w:customStyle="1" w:styleId="MainText">
    <w:name w:val="Main Text"/>
    <w:basedOn w:val="Normln"/>
    <w:uiPriority w:val="99"/>
    <w:rsid w:val="00265FC9"/>
    <w:pPr>
      <w:spacing w:before="240"/>
      <w:jc w:val="both"/>
    </w:pPr>
    <w:rPr>
      <w:rFonts w:ascii="Arial" w:hAnsi="Arial"/>
      <w:spacing w:val="10"/>
      <w:sz w:val="20"/>
    </w:rPr>
  </w:style>
  <w:style w:type="paragraph" w:styleId="Obsah3">
    <w:name w:val="toc 3"/>
    <w:basedOn w:val="Normln"/>
    <w:next w:val="Normln"/>
    <w:uiPriority w:val="99"/>
    <w:semiHidden/>
    <w:rsid w:val="00265FC9"/>
    <w:rPr>
      <w:rFonts w:ascii="Arial" w:hAnsi="Arial"/>
      <w:sz w:val="20"/>
      <w:szCs w:val="20"/>
    </w:rPr>
  </w:style>
  <w:style w:type="character" w:styleId="Sledovanodkaz">
    <w:name w:val="FollowedHyperlink"/>
    <w:uiPriority w:val="99"/>
    <w:rsid w:val="00265FC9"/>
    <w:rPr>
      <w:rFonts w:cs="Times New Roman"/>
      <w:color w:val="800080"/>
      <w:u w:val="single"/>
    </w:rPr>
  </w:style>
  <w:style w:type="paragraph" w:customStyle="1" w:styleId="ClientName">
    <w:name w:val="Client Name"/>
    <w:basedOn w:val="Nadpis2"/>
    <w:uiPriority w:val="99"/>
    <w:rsid w:val="00265FC9"/>
    <w:pPr>
      <w:numPr>
        <w:ilvl w:val="0"/>
        <w:numId w:val="0"/>
      </w:numPr>
      <w:spacing w:before="0"/>
      <w:jc w:val="center"/>
    </w:pPr>
    <w:rPr>
      <w:sz w:val="48"/>
    </w:rPr>
  </w:style>
  <w:style w:type="paragraph" w:styleId="Seznamobrzk">
    <w:name w:val="table of figures"/>
    <w:basedOn w:val="Normln"/>
    <w:next w:val="Normln"/>
    <w:uiPriority w:val="99"/>
    <w:semiHidden/>
    <w:rsid w:val="00265FC9"/>
    <w:pPr>
      <w:ind w:left="480" w:hanging="480"/>
    </w:pPr>
  </w:style>
  <w:style w:type="paragraph" w:styleId="Obsah1">
    <w:name w:val="toc 1"/>
    <w:basedOn w:val="Normln"/>
    <w:next w:val="Obsah2"/>
    <w:uiPriority w:val="99"/>
    <w:semiHidden/>
    <w:rsid w:val="00265FC9"/>
    <w:pPr>
      <w:tabs>
        <w:tab w:val="left" w:pos="1134"/>
        <w:tab w:val="right" w:pos="8806"/>
      </w:tabs>
      <w:spacing w:before="240" w:after="0"/>
      <w:ind w:right="567" w:hanging="567"/>
      <w:outlineLvl w:val="0"/>
    </w:pPr>
    <w:rPr>
      <w:rFonts w:ascii="Arial" w:hAnsi="Arial"/>
      <w:b/>
      <w:caps/>
      <w:noProof/>
      <w:spacing w:val="10"/>
      <w:sz w:val="22"/>
      <w:lang w:val="en-GB"/>
    </w:rPr>
  </w:style>
  <w:style w:type="paragraph" w:styleId="Obsah2">
    <w:name w:val="toc 2"/>
    <w:basedOn w:val="Obsah1"/>
    <w:uiPriority w:val="99"/>
    <w:semiHidden/>
    <w:rsid w:val="00265FC9"/>
    <w:pPr>
      <w:spacing w:before="120"/>
      <w:ind w:left="1134"/>
      <w:outlineLvl w:val="1"/>
    </w:pPr>
    <w:rPr>
      <w:b w:val="0"/>
      <w:caps w:val="0"/>
      <w:sz w:val="20"/>
      <w:szCs w:val="20"/>
    </w:rPr>
  </w:style>
  <w:style w:type="paragraph" w:customStyle="1" w:styleId="FigureHeading">
    <w:name w:val="Figure Heading"/>
    <w:basedOn w:val="MainText"/>
    <w:next w:val="MainText"/>
    <w:uiPriority w:val="99"/>
    <w:rsid w:val="00265FC9"/>
    <w:pPr>
      <w:keepNext/>
      <w:numPr>
        <w:numId w:val="1"/>
      </w:numPr>
      <w:tabs>
        <w:tab w:val="left" w:pos="1701"/>
      </w:tabs>
      <w:spacing w:before="360" w:after="120"/>
    </w:pPr>
    <w:rPr>
      <w:rFonts w:cs="Arial"/>
      <w:b/>
      <w:bCs/>
      <w:sz w:val="16"/>
    </w:rPr>
  </w:style>
  <w:style w:type="paragraph" w:customStyle="1" w:styleId="ProposalByDate">
    <w:name w:val="Proposal By/Date"/>
    <w:next w:val="Normln"/>
    <w:uiPriority w:val="99"/>
    <w:rsid w:val="00265FC9"/>
    <w:pPr>
      <w:jc w:val="center"/>
    </w:pPr>
    <w:rPr>
      <w:rFonts w:ascii="Arial" w:hAnsi="Arial" w:cs="Arial"/>
      <w:b/>
      <w:bCs/>
      <w:caps/>
      <w:spacing w:val="10"/>
      <w:sz w:val="18"/>
      <w:szCs w:val="18"/>
      <w:lang w:eastAsia="en-US"/>
    </w:rPr>
  </w:style>
  <w:style w:type="paragraph" w:customStyle="1" w:styleId="ReportTitle">
    <w:name w:val="Report Title"/>
    <w:basedOn w:val="CompanyName"/>
    <w:uiPriority w:val="99"/>
    <w:rsid w:val="00265FC9"/>
    <w:pPr>
      <w:spacing w:before="360"/>
      <w:ind w:left="0" w:firstLine="0"/>
    </w:pPr>
  </w:style>
  <w:style w:type="paragraph" w:customStyle="1" w:styleId="CompanyName">
    <w:name w:val="CompanyName"/>
    <w:basedOn w:val="Nzev"/>
    <w:next w:val="Nzev"/>
    <w:uiPriority w:val="99"/>
    <w:rsid w:val="00265FC9"/>
    <w:pPr>
      <w:keepNext/>
      <w:keepLines/>
      <w:spacing w:before="0" w:after="0"/>
      <w:ind w:left="709" w:hanging="709"/>
      <w:outlineLvl w:val="9"/>
    </w:pPr>
    <w:rPr>
      <w:rFonts w:cs="Times New Roman"/>
      <w:bCs w:val="0"/>
      <w:caps/>
      <w:kern w:val="0"/>
      <w:sz w:val="24"/>
      <w:szCs w:val="20"/>
      <w:lang w:eastAsia="en-GB"/>
    </w:rPr>
  </w:style>
  <w:style w:type="paragraph" w:styleId="Nzev">
    <w:name w:val="Title"/>
    <w:basedOn w:val="Normln"/>
    <w:link w:val="NzevChar"/>
    <w:qFormat/>
    <w:rsid w:val="00265FC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07539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ENProposalTitle">
    <w:name w:val="EN Proposal Title"/>
    <w:basedOn w:val="Nadpis3"/>
    <w:uiPriority w:val="99"/>
    <w:rsid w:val="00265FC9"/>
    <w:pPr>
      <w:spacing w:line="280" w:lineRule="exact"/>
    </w:pPr>
    <w:rPr>
      <w:sz w:val="24"/>
    </w:rPr>
  </w:style>
  <w:style w:type="paragraph" w:customStyle="1" w:styleId="ENItalicText">
    <w:name w:val="EN Italic Text"/>
    <w:basedOn w:val="MainText"/>
    <w:uiPriority w:val="99"/>
    <w:rsid w:val="00265FC9"/>
    <w:rPr>
      <w:i/>
      <w:iCs/>
    </w:rPr>
  </w:style>
  <w:style w:type="paragraph" w:styleId="Obsah4">
    <w:name w:val="toc 4"/>
    <w:basedOn w:val="Normln"/>
    <w:next w:val="Normln"/>
    <w:autoRedefine/>
    <w:uiPriority w:val="99"/>
    <w:semiHidden/>
    <w:rsid w:val="00265FC9"/>
    <w:pPr>
      <w:ind w:left="720"/>
    </w:pPr>
  </w:style>
  <w:style w:type="paragraph" w:customStyle="1" w:styleId="ExecutiveSummary">
    <w:name w:val="Executive Summary"/>
    <w:basedOn w:val="Nadpis5"/>
    <w:next w:val="MainText"/>
    <w:uiPriority w:val="99"/>
    <w:rsid w:val="00265FC9"/>
    <w:rPr>
      <w:caps/>
      <w:spacing w:val="10"/>
    </w:rPr>
  </w:style>
  <w:style w:type="paragraph" w:styleId="Obsah5">
    <w:name w:val="toc 5"/>
    <w:basedOn w:val="Normln"/>
    <w:next w:val="Normln"/>
    <w:autoRedefine/>
    <w:uiPriority w:val="99"/>
    <w:semiHidden/>
    <w:rsid w:val="00265FC9"/>
    <w:pPr>
      <w:ind w:left="960"/>
    </w:pPr>
  </w:style>
  <w:style w:type="paragraph" w:styleId="Obsah6">
    <w:name w:val="toc 6"/>
    <w:basedOn w:val="Normln"/>
    <w:next w:val="Normln"/>
    <w:autoRedefine/>
    <w:uiPriority w:val="99"/>
    <w:semiHidden/>
    <w:rsid w:val="00265FC9"/>
    <w:pPr>
      <w:ind w:left="1200"/>
    </w:pPr>
  </w:style>
  <w:style w:type="paragraph" w:styleId="Obsah7">
    <w:name w:val="toc 7"/>
    <w:basedOn w:val="Normln"/>
    <w:next w:val="Normln"/>
    <w:autoRedefine/>
    <w:uiPriority w:val="99"/>
    <w:semiHidden/>
    <w:rsid w:val="00265FC9"/>
    <w:pPr>
      <w:ind w:left="1440"/>
    </w:pPr>
  </w:style>
  <w:style w:type="paragraph" w:styleId="Obsah8">
    <w:name w:val="toc 8"/>
    <w:basedOn w:val="Normln"/>
    <w:next w:val="Normln"/>
    <w:autoRedefine/>
    <w:uiPriority w:val="99"/>
    <w:semiHidden/>
    <w:rsid w:val="00265FC9"/>
    <w:pPr>
      <w:ind w:left="1680"/>
    </w:pPr>
  </w:style>
  <w:style w:type="paragraph" w:styleId="Obsah9">
    <w:name w:val="toc 9"/>
    <w:basedOn w:val="Normln"/>
    <w:next w:val="Normln"/>
    <w:autoRedefine/>
    <w:uiPriority w:val="99"/>
    <w:semiHidden/>
    <w:rsid w:val="00265FC9"/>
    <w:pPr>
      <w:ind w:left="1920"/>
    </w:pPr>
  </w:style>
  <w:style w:type="character" w:styleId="Hypertextovodkaz">
    <w:name w:val="Hyperlink"/>
    <w:uiPriority w:val="99"/>
    <w:rsid w:val="00265FC9"/>
    <w:rPr>
      <w:rFonts w:cs="Times New Roman"/>
      <w:color w:val="0000FF"/>
      <w:u w:val="single"/>
    </w:rPr>
  </w:style>
  <w:style w:type="paragraph" w:customStyle="1" w:styleId="TableHeading">
    <w:name w:val="Table Heading"/>
    <w:basedOn w:val="FigureHeading"/>
    <w:next w:val="MainText"/>
    <w:uiPriority w:val="99"/>
    <w:rsid w:val="00265FC9"/>
    <w:pPr>
      <w:numPr>
        <w:numId w:val="2"/>
      </w:numPr>
      <w:ind w:firstLine="0"/>
    </w:pPr>
  </w:style>
  <w:style w:type="paragraph" w:customStyle="1" w:styleId="QualitySubtitles">
    <w:name w:val="Quality Subtitles"/>
    <w:basedOn w:val="Normln"/>
    <w:uiPriority w:val="99"/>
    <w:rsid w:val="00265FC9"/>
    <w:pPr>
      <w:spacing w:line="250" w:lineRule="exact"/>
    </w:pPr>
    <w:rPr>
      <w:rFonts w:ascii="Arial" w:hAnsi="Arial" w:cs="Arial"/>
      <w:b/>
      <w:spacing w:val="10"/>
      <w:sz w:val="20"/>
      <w:szCs w:val="20"/>
    </w:rPr>
  </w:style>
  <w:style w:type="character" w:styleId="slostrnky">
    <w:name w:val="page number"/>
    <w:uiPriority w:val="99"/>
    <w:rsid w:val="00265FC9"/>
    <w:rPr>
      <w:rFonts w:cs="Times New Roman"/>
    </w:rPr>
  </w:style>
  <w:style w:type="paragraph" w:customStyle="1" w:styleId="QualityText">
    <w:name w:val="Quality Text"/>
    <w:basedOn w:val="QualitySubtitles"/>
    <w:uiPriority w:val="99"/>
    <w:rsid w:val="00265FC9"/>
    <w:rPr>
      <w:b w:val="0"/>
    </w:rPr>
  </w:style>
  <w:style w:type="paragraph" w:customStyle="1" w:styleId="BulletText">
    <w:name w:val="Bullet Text"/>
    <w:basedOn w:val="MainText"/>
    <w:uiPriority w:val="99"/>
    <w:rsid w:val="00265FC9"/>
    <w:pPr>
      <w:numPr>
        <w:numId w:val="3"/>
      </w:numPr>
    </w:pPr>
  </w:style>
  <w:style w:type="paragraph" w:customStyle="1" w:styleId="TableText">
    <w:name w:val="Table Text"/>
    <w:basedOn w:val="Normln"/>
    <w:uiPriority w:val="99"/>
    <w:rsid w:val="00265FC9"/>
    <w:pPr>
      <w:spacing w:before="15" w:after="15"/>
      <w:ind w:left="15" w:right="15"/>
    </w:pPr>
    <w:rPr>
      <w:rFonts w:ascii="Arial" w:hAnsi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rsid w:val="00265F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75398"/>
    <w:rPr>
      <w:rFonts w:cs="Times New Roman"/>
      <w:sz w:val="2"/>
      <w:lang w:eastAsia="en-US"/>
    </w:rPr>
  </w:style>
  <w:style w:type="paragraph" w:customStyle="1" w:styleId="Appendices">
    <w:name w:val="Appendices"/>
    <w:basedOn w:val="AppendixNo"/>
    <w:next w:val="MainText"/>
    <w:uiPriority w:val="99"/>
    <w:rsid w:val="00265FC9"/>
    <w:pPr>
      <w:numPr>
        <w:numId w:val="0"/>
      </w:numPr>
      <w:ind w:left="567"/>
    </w:pPr>
    <w:rPr>
      <w:rFonts w:cs="Times New Roman"/>
      <w:szCs w:val="20"/>
    </w:rPr>
  </w:style>
  <w:style w:type="paragraph" w:customStyle="1" w:styleId="AppendixNo">
    <w:name w:val="Appendix No."/>
    <w:next w:val="MainText"/>
    <w:uiPriority w:val="99"/>
    <w:rsid w:val="00265FC9"/>
    <w:pPr>
      <w:keepNext/>
      <w:pageBreakBefore/>
      <w:numPr>
        <w:numId w:val="4"/>
      </w:numPr>
      <w:tabs>
        <w:tab w:val="clear" w:pos="495"/>
        <w:tab w:val="left" w:pos="567"/>
      </w:tabs>
      <w:ind w:left="567" w:hanging="567"/>
    </w:pPr>
    <w:rPr>
      <w:rFonts w:ascii="Arial" w:hAnsi="Arial" w:cs="Arial"/>
      <w:b/>
      <w:bCs/>
      <w:caps/>
      <w:spacing w:val="10"/>
      <w:sz w:val="24"/>
      <w:szCs w:val="24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265FC9"/>
    <w:pPr>
      <w:tabs>
        <w:tab w:val="left" w:pos="360"/>
      </w:tabs>
      <w:ind w:left="357" w:hanging="357"/>
    </w:pPr>
    <w:rPr>
      <w:rFonts w:ascii="Arial" w:hAnsi="Arial"/>
      <w:sz w:val="18"/>
      <w:szCs w:val="18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075398"/>
    <w:rPr>
      <w:rFonts w:cs="Times New Roman"/>
      <w:sz w:val="20"/>
      <w:szCs w:val="20"/>
      <w:lang w:eastAsia="en-US"/>
    </w:rPr>
  </w:style>
  <w:style w:type="character" w:styleId="Znakapoznpodarou">
    <w:name w:val="footnote reference"/>
    <w:aliases w:val="EN Footnote Reference"/>
    <w:uiPriority w:val="99"/>
    <w:semiHidden/>
    <w:rsid w:val="00265FC9"/>
    <w:rPr>
      <w:rFonts w:ascii="Arial" w:hAnsi="Arial" w:cs="Times New Roman"/>
      <w:vertAlign w:val="superscript"/>
    </w:rPr>
  </w:style>
  <w:style w:type="paragraph" w:customStyle="1" w:styleId="TableSource">
    <w:name w:val="Table Source"/>
    <w:basedOn w:val="MainText"/>
    <w:next w:val="MainText"/>
    <w:uiPriority w:val="99"/>
    <w:rsid w:val="00265FC9"/>
    <w:pPr>
      <w:spacing w:before="60"/>
    </w:pPr>
    <w:rPr>
      <w:i/>
      <w:sz w:val="16"/>
      <w:szCs w:val="16"/>
    </w:rPr>
  </w:style>
  <w:style w:type="paragraph" w:styleId="Zhlav">
    <w:name w:val="header"/>
    <w:basedOn w:val="Normln"/>
    <w:link w:val="ZhlavChar"/>
    <w:uiPriority w:val="99"/>
    <w:rsid w:val="00265FC9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uiPriority w:val="99"/>
    <w:semiHidden/>
    <w:locked/>
    <w:rsid w:val="00075398"/>
    <w:rPr>
      <w:rFonts w:cs="Times New Roman"/>
      <w:sz w:val="24"/>
      <w:szCs w:val="24"/>
      <w:lang w:eastAsia="en-US"/>
    </w:rPr>
  </w:style>
  <w:style w:type="paragraph" w:styleId="Titulek">
    <w:name w:val="caption"/>
    <w:basedOn w:val="Normln"/>
    <w:next w:val="Normln"/>
    <w:uiPriority w:val="99"/>
    <w:qFormat/>
    <w:rsid w:val="00CD2EEF"/>
    <w:rPr>
      <w:b/>
      <w:bCs/>
      <w:sz w:val="20"/>
      <w:szCs w:val="20"/>
      <w:lang w:eastAsia="cs-CZ"/>
    </w:rPr>
  </w:style>
  <w:style w:type="paragraph" w:customStyle="1" w:styleId="NumberText">
    <w:name w:val="Number Text"/>
    <w:basedOn w:val="MainText"/>
    <w:uiPriority w:val="99"/>
    <w:rsid w:val="00265FC9"/>
    <w:pPr>
      <w:numPr>
        <w:numId w:val="6"/>
      </w:numPr>
      <w:tabs>
        <w:tab w:val="clear" w:pos="1287"/>
        <w:tab w:val="left" w:pos="924"/>
      </w:tabs>
      <w:ind w:left="924" w:hanging="357"/>
    </w:pPr>
  </w:style>
  <w:style w:type="paragraph" w:styleId="Zpat">
    <w:name w:val="footer"/>
    <w:basedOn w:val="Normln"/>
    <w:link w:val="ZpatChar"/>
    <w:uiPriority w:val="99"/>
    <w:rsid w:val="002915E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2915E4"/>
    <w:rPr>
      <w:rFonts w:cs="Times New Roman"/>
      <w:sz w:val="24"/>
      <w:lang w:eastAsia="en-US"/>
    </w:rPr>
  </w:style>
  <w:style w:type="paragraph" w:customStyle="1" w:styleId="zkladn">
    <w:name w:val="základní"/>
    <w:rsid w:val="00926990"/>
    <w:pPr>
      <w:ind w:firstLine="567"/>
      <w:jc w:val="both"/>
    </w:pPr>
    <w:rPr>
      <w:rFonts w:eastAsia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Sablony\REPORT%20-%201%20SIDED%20(CZ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E6B30-962D-4752-9398-867CA231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- 1 SIDED (CZ).dot</Template>
  <TotalTime>59</TotalTime>
  <Pages>9</Pages>
  <Words>2116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Monitoring vládních budov - zpráva o provozu v roce 2010</vt:lpstr>
    </vt:vector>
  </TitlesOfParts>
  <Company>ENVIROS, s.r.o.</Company>
  <LinksUpToDate>false</LinksUpToDate>
  <CharactersWithSpaces>14573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vládních budov - zpráva o provozu v roce 2010</dc:title>
  <dc:subject>ENVIROS, s. r. o.</dc:subject>
  <dc:creator>Pavel Sitný</dc:creator>
  <cp:lastModifiedBy>Trechová Jana</cp:lastModifiedBy>
  <cp:revision>15</cp:revision>
  <cp:lastPrinted>2013-06-18T12:57:00Z</cp:lastPrinted>
  <dcterms:created xsi:type="dcterms:W3CDTF">2014-05-16T11:34:00Z</dcterms:created>
  <dcterms:modified xsi:type="dcterms:W3CDTF">2014-06-23T08:04:00Z</dcterms:modified>
</cp:coreProperties>
</file>