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52" w:rsidRDefault="00312552" w:rsidP="0073292B">
      <w:pPr>
        <w:pStyle w:val="Zkladntext"/>
        <w:spacing w:after="120" w:line="240" w:lineRule="auto"/>
        <w:rPr>
          <w:sz w:val="24"/>
          <w:szCs w:val="24"/>
        </w:rPr>
      </w:pPr>
    </w:p>
    <w:p w:rsidR="005E0B09" w:rsidRDefault="005E0B09" w:rsidP="0073292B">
      <w:pPr>
        <w:pStyle w:val="Zkladntext"/>
        <w:spacing w:after="120" w:line="240" w:lineRule="auto"/>
        <w:rPr>
          <w:sz w:val="24"/>
          <w:szCs w:val="24"/>
        </w:rPr>
      </w:pPr>
    </w:p>
    <w:p w:rsidR="00E029DA" w:rsidRPr="00E029DA" w:rsidRDefault="00E029DA" w:rsidP="00E029DA">
      <w:pPr>
        <w:pStyle w:val="Obsah3"/>
        <w:spacing w:before="120" w:after="120"/>
      </w:pPr>
      <w:proofErr w:type="gramStart"/>
      <w:r w:rsidRPr="00E029DA">
        <w:t xml:space="preserve">1.     </w:t>
      </w:r>
      <w:r w:rsidR="00AF1A0A">
        <w:t>ÚVOD</w:t>
      </w:r>
      <w:proofErr w:type="gramEnd"/>
      <w:r w:rsidR="00AF1A0A">
        <w:t>,</w:t>
      </w:r>
      <w:r w:rsidRPr="00E029DA">
        <w:t xml:space="preserve"> ZÁKLADNÍ DATA</w:t>
      </w:r>
      <w:r>
        <w:t>………………………………………………</w:t>
      </w:r>
      <w:r w:rsidR="00AF1A0A">
        <w:t>…………………….</w:t>
      </w:r>
      <w:r>
        <w:t>……………2</w:t>
      </w:r>
    </w:p>
    <w:p w:rsidR="005E0B09" w:rsidRPr="00E029DA" w:rsidRDefault="005E0B09" w:rsidP="00E029DA">
      <w:pPr>
        <w:pStyle w:val="Obsah3"/>
        <w:spacing w:before="120" w:after="120"/>
        <w:rPr>
          <w:rStyle w:val="Hypertextovodkaz"/>
          <w:noProof/>
        </w:rPr>
      </w:pPr>
      <w:r w:rsidRPr="00E029DA">
        <w:fldChar w:fldCharType="begin"/>
      </w:r>
      <w:r w:rsidRPr="00E029DA">
        <w:instrText xml:space="preserve"> TOC \o "1-3" \h \z \u </w:instrText>
      </w:r>
      <w:r w:rsidRPr="00E029DA">
        <w:fldChar w:fldCharType="separate"/>
      </w:r>
      <w:hyperlink w:anchor="_Toc388021753" w:history="1">
        <w:r w:rsidRPr="00E029DA">
          <w:rPr>
            <w:rStyle w:val="Hypertextovodkaz"/>
            <w:noProof/>
          </w:rPr>
          <w:t>1.1.</w:t>
        </w:r>
        <w:r w:rsidR="00A318FD" w:rsidRPr="00E029DA">
          <w:rPr>
            <w:rStyle w:val="Hypertextovodkaz"/>
            <w:noProof/>
          </w:rPr>
          <w:t xml:space="preserve">  </w:t>
        </w:r>
        <w:r w:rsidRPr="00E029DA">
          <w:rPr>
            <w:rStyle w:val="Hypertextovodkaz"/>
            <w:noProof/>
          </w:rPr>
          <w:t>OBLASTI PODPORY A ROZDĚLENÍ PROSTŘEDKŮ</w:t>
        </w:r>
        <w:r w:rsidRPr="00E029DA">
          <w:rPr>
            <w:noProof/>
            <w:webHidden/>
          </w:rPr>
          <w:tab/>
        </w:r>
        <w:r w:rsidR="00E029DA">
          <w:rPr>
            <w:noProof/>
            <w:webHidden/>
          </w:rPr>
          <w:t>2</w:t>
        </w:r>
      </w:hyperlink>
    </w:p>
    <w:p w:rsidR="00E029DA" w:rsidRPr="00E029DA" w:rsidRDefault="00E029DA" w:rsidP="00E029DA">
      <w:pPr>
        <w:spacing w:before="120" w:after="120"/>
        <w:ind w:left="400" w:hanging="400"/>
        <w:rPr>
          <w:rFonts w:eastAsiaTheme="minorEastAsia"/>
        </w:rPr>
      </w:pPr>
      <w:r w:rsidRPr="00E029DA">
        <w:rPr>
          <w:rFonts w:eastAsiaTheme="minorEastAsia"/>
        </w:rPr>
        <w:t xml:space="preserve">2.     </w:t>
      </w:r>
      <w:r>
        <w:rPr>
          <w:rFonts w:eastAsiaTheme="minorEastAsia"/>
        </w:rPr>
        <w:t>VYHODNOCENÍ PŘÍNOSŮ FINANČNÍCH PROSTŘEDKŮ……………………………………………..6</w:t>
      </w:r>
    </w:p>
    <w:p w:rsidR="005E0B09" w:rsidRPr="00E029DA" w:rsidRDefault="00FD48E1" w:rsidP="00E029DA">
      <w:pPr>
        <w:pStyle w:val="Obsah3"/>
        <w:spacing w:before="120" w:after="120"/>
        <w:rPr>
          <w:rFonts w:asciiTheme="minorHAnsi" w:eastAsiaTheme="minorEastAsia" w:hAnsiTheme="minorHAnsi" w:cstheme="minorBidi"/>
          <w:noProof/>
        </w:rPr>
      </w:pPr>
      <w:hyperlink w:anchor="_Toc388021755" w:history="1">
        <w:r w:rsidR="005E0B09" w:rsidRPr="00E029DA">
          <w:rPr>
            <w:rStyle w:val="Hypertextovodkaz"/>
            <w:noProof/>
          </w:rPr>
          <w:t>2.1.  VYHODNOCENÍ INVESTIČNÍCH AKCÍ</w:t>
        </w:r>
        <w:r w:rsidR="005E0B09" w:rsidRPr="00E029DA">
          <w:rPr>
            <w:noProof/>
            <w:webHidden/>
          </w:rPr>
          <w:tab/>
        </w:r>
        <w:r w:rsidR="00E029DA">
          <w:rPr>
            <w:noProof/>
            <w:webHidden/>
          </w:rPr>
          <w:t>6</w:t>
        </w:r>
      </w:hyperlink>
    </w:p>
    <w:p w:rsidR="005E0B09" w:rsidRDefault="00FD48E1" w:rsidP="00E029DA">
      <w:pPr>
        <w:pStyle w:val="Obsah3"/>
        <w:spacing w:before="120" w:after="120"/>
        <w:rPr>
          <w:rStyle w:val="Hypertextovodkaz"/>
          <w:noProof/>
        </w:rPr>
      </w:pPr>
      <w:hyperlink w:anchor="_Toc388021756" w:history="1">
        <w:r w:rsidR="005E0B09" w:rsidRPr="00E029DA">
          <w:rPr>
            <w:rStyle w:val="Hypertextovodkaz"/>
            <w:noProof/>
          </w:rPr>
          <w:t>2.2.  VYHODNOCENÍ NEINVESTIČNÍCH AKCÍ</w:t>
        </w:r>
        <w:r w:rsidR="005E0B09" w:rsidRPr="00E029DA">
          <w:rPr>
            <w:noProof/>
            <w:webHidden/>
          </w:rPr>
          <w:tab/>
        </w:r>
        <w:r w:rsidR="005E0B09" w:rsidRPr="00E029DA">
          <w:rPr>
            <w:noProof/>
            <w:webHidden/>
          </w:rPr>
          <w:fldChar w:fldCharType="begin"/>
        </w:r>
        <w:r w:rsidR="005E0B09" w:rsidRPr="00E029DA">
          <w:rPr>
            <w:noProof/>
            <w:webHidden/>
          </w:rPr>
          <w:instrText xml:space="preserve"> PAGEREF _Toc388021756 \h </w:instrText>
        </w:r>
        <w:r w:rsidR="005E0B09" w:rsidRPr="00E029DA">
          <w:rPr>
            <w:noProof/>
            <w:webHidden/>
          </w:rPr>
        </w:r>
        <w:r w:rsidR="005E0B09" w:rsidRPr="00E029DA">
          <w:rPr>
            <w:noProof/>
            <w:webHidden/>
          </w:rPr>
          <w:fldChar w:fldCharType="separate"/>
        </w:r>
        <w:r w:rsidR="00FC5C39">
          <w:rPr>
            <w:noProof/>
            <w:webHidden/>
          </w:rPr>
          <w:t>8</w:t>
        </w:r>
        <w:r w:rsidR="005E0B09" w:rsidRPr="00E029DA">
          <w:rPr>
            <w:noProof/>
            <w:webHidden/>
          </w:rPr>
          <w:fldChar w:fldCharType="end"/>
        </w:r>
      </w:hyperlink>
    </w:p>
    <w:p w:rsidR="00E029DA" w:rsidRDefault="00E029DA" w:rsidP="00E029DA">
      <w:pPr>
        <w:spacing w:before="120" w:after="120"/>
        <w:rPr>
          <w:rFonts w:eastAsiaTheme="minorEastAsia"/>
        </w:rPr>
      </w:pPr>
      <w:r>
        <w:rPr>
          <w:rFonts w:eastAsiaTheme="minorEastAsia"/>
        </w:rPr>
        <w:t>3.     ZÁVĚR…………………………………………………………………………………………………</w:t>
      </w:r>
      <w:r w:rsidR="00AF1A0A">
        <w:rPr>
          <w:rFonts w:eastAsiaTheme="minorEastAsia"/>
        </w:rPr>
        <w:t>.</w:t>
      </w:r>
      <w:r>
        <w:rPr>
          <w:rFonts w:eastAsiaTheme="minorEastAsia"/>
        </w:rPr>
        <w:t xml:space="preserve">…..11. </w:t>
      </w: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E029DA" w:rsidRDefault="00E029DA" w:rsidP="00E029DA">
      <w:pPr>
        <w:spacing w:before="120" w:after="120"/>
        <w:rPr>
          <w:rFonts w:eastAsiaTheme="minorEastAsia"/>
        </w:rPr>
      </w:pPr>
    </w:p>
    <w:p w:rsidR="005E0B09" w:rsidRDefault="005E0B09" w:rsidP="00E029DA">
      <w:pPr>
        <w:pStyle w:val="Zkladntext"/>
        <w:spacing w:before="120" w:after="120" w:line="240" w:lineRule="auto"/>
        <w:rPr>
          <w:sz w:val="24"/>
          <w:szCs w:val="24"/>
        </w:rPr>
      </w:pPr>
      <w:r w:rsidRPr="00E029DA">
        <w:rPr>
          <w:sz w:val="20"/>
        </w:rPr>
        <w:lastRenderedPageBreak/>
        <w:fldChar w:fldCharType="end"/>
      </w:r>
    </w:p>
    <w:p w:rsidR="00E25520" w:rsidRPr="005E0B09" w:rsidRDefault="00AF1A0A" w:rsidP="005E0B09">
      <w:pPr>
        <w:pStyle w:val="Nadpis7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ÚVOD,</w:t>
      </w:r>
      <w:r w:rsidR="003F3841" w:rsidRPr="005E0B09">
        <w:rPr>
          <w:sz w:val="32"/>
          <w:szCs w:val="32"/>
        </w:rPr>
        <w:t xml:space="preserve"> ZÁKLADNÍ DATA</w:t>
      </w:r>
    </w:p>
    <w:p w:rsidR="00E25520" w:rsidRPr="00E25520" w:rsidRDefault="00E25520" w:rsidP="00E25520"/>
    <w:p w:rsidR="00E25520" w:rsidRPr="00360B45" w:rsidRDefault="00E25520" w:rsidP="00E25520">
      <w:pPr>
        <w:spacing w:after="120"/>
        <w:jc w:val="both"/>
        <w:rPr>
          <w:sz w:val="24"/>
          <w:szCs w:val="24"/>
        </w:rPr>
      </w:pPr>
      <w:r w:rsidRPr="00360B45">
        <w:rPr>
          <w:sz w:val="24"/>
          <w:szCs w:val="24"/>
        </w:rPr>
        <w:t xml:space="preserve">Program EFEKT je zřízen na základě ustanovení § 5 zákona č. 406/200 Sb., o hospodaření energií. Tento dokument vyjadřuje cíle v oblasti zvyšování účinnosti užití energie, snižování energetické náročnosti a využití obnovitelných a druhotných zdrojů v souladu se schválenou státní energetickou koncepcí a zásadami udržitelného rozvoje. </w:t>
      </w:r>
    </w:p>
    <w:p w:rsidR="00E25520" w:rsidRDefault="00E25520" w:rsidP="00E25520">
      <w:pPr>
        <w:spacing w:after="120"/>
        <w:jc w:val="both"/>
        <w:rPr>
          <w:sz w:val="24"/>
          <w:szCs w:val="24"/>
        </w:rPr>
      </w:pPr>
      <w:r w:rsidRPr="0073292B">
        <w:rPr>
          <w:sz w:val="24"/>
          <w:szCs w:val="24"/>
        </w:rPr>
        <w:t xml:space="preserve">České republice plynou z členství v EU povinnosti plnit společné závazky. V rámci  </w:t>
      </w:r>
      <w:proofErr w:type="spellStart"/>
      <w:proofErr w:type="gramStart"/>
      <w:r w:rsidRPr="0073292B">
        <w:rPr>
          <w:sz w:val="24"/>
          <w:szCs w:val="24"/>
        </w:rPr>
        <w:t>klimaticko</w:t>
      </w:r>
      <w:proofErr w:type="spellEnd"/>
      <w:proofErr w:type="gramEnd"/>
      <w:r w:rsidRPr="0073292B">
        <w:rPr>
          <w:sz w:val="24"/>
          <w:szCs w:val="24"/>
        </w:rPr>
        <w:t>–</w:t>
      </w:r>
      <w:proofErr w:type="gramStart"/>
      <w:r w:rsidRPr="0073292B">
        <w:rPr>
          <w:sz w:val="24"/>
          <w:szCs w:val="24"/>
        </w:rPr>
        <w:t>energetické</w:t>
      </w:r>
      <w:proofErr w:type="gramEnd"/>
      <w:r w:rsidRPr="0073292B">
        <w:rPr>
          <w:sz w:val="24"/>
          <w:szCs w:val="24"/>
        </w:rPr>
        <w:t xml:space="preserve"> politiky patří mezi stěžejní úkoly plnění závazků vyplývajících ze směrnice Evropského parlamentu a Rady č. 2009/28/ES o podpoře obnovitelných zdrojů energie a Směrnice EP a Rady č. 2012/27/EU o energetické účinnosti. V oblasti obnovitelných zdrojů energie (OZE) je stanoven ČR cíl do roku 2020 ve výši 13 % podílu OZE na hrubé konečné spotřebě energie. Ze směrnice o energetické účinnosti ČR vyplývá cíl úspory energie ve výši 47,84 PJ na konečné spotřebě energie do roku 2020.</w:t>
      </w:r>
    </w:p>
    <w:p w:rsidR="00360B45" w:rsidRPr="00E25520" w:rsidRDefault="00360B45" w:rsidP="00E25520">
      <w:pPr>
        <w:spacing w:after="120"/>
        <w:jc w:val="both"/>
        <w:rPr>
          <w:sz w:val="24"/>
          <w:szCs w:val="24"/>
        </w:rPr>
      </w:pPr>
      <w:r w:rsidRPr="0073292B">
        <w:rPr>
          <w:sz w:val="24"/>
          <w:szCs w:val="24"/>
        </w:rPr>
        <w:t>Pro zajištění výše uvedených závazků je nutno vytvářet vhodné politické a legislativní podmínky a připravovat technická a ekonomická řešení. Jedním z  ekonomických nástrojů, který jistou měrou přispívá k dosažení stanovených cílů, jel právě program EFEKT. Je to způsobeno zejména širokou škálou podporovaných aktivit, které ať již přímo či nepřímo způsobují úspory energií jak ve veřejné tak soukromé sféře.</w:t>
      </w:r>
    </w:p>
    <w:p w:rsidR="00B30B8D" w:rsidRPr="0073292B" w:rsidRDefault="00966E1A" w:rsidP="0073292B">
      <w:pPr>
        <w:pStyle w:val="Zkladntext"/>
        <w:spacing w:after="120" w:line="240" w:lineRule="auto"/>
        <w:rPr>
          <w:sz w:val="24"/>
          <w:szCs w:val="24"/>
        </w:rPr>
      </w:pPr>
      <w:r w:rsidRPr="0073292B">
        <w:rPr>
          <w:sz w:val="24"/>
          <w:szCs w:val="24"/>
        </w:rPr>
        <w:t>Program se orientuje na úzce vymezené konkrétní aktivity, které nelze financovat z operačních programů nebo jiných zdrojů.</w:t>
      </w:r>
      <w:r w:rsidR="00E25520">
        <w:rPr>
          <w:sz w:val="24"/>
          <w:szCs w:val="24"/>
        </w:rPr>
        <w:t xml:space="preserve"> </w:t>
      </w:r>
      <w:r w:rsidR="00360B45" w:rsidRPr="0073292B">
        <w:rPr>
          <w:sz w:val="24"/>
          <w:szCs w:val="24"/>
        </w:rPr>
        <w:t>Program EFEKT slouží Ministerstvu průmyslu a</w:t>
      </w:r>
      <w:r w:rsidR="002C6680">
        <w:rPr>
          <w:sz w:val="24"/>
          <w:szCs w:val="24"/>
        </w:rPr>
        <w:t> </w:t>
      </w:r>
      <w:r w:rsidR="00360B45" w:rsidRPr="0073292B">
        <w:rPr>
          <w:sz w:val="24"/>
          <w:szCs w:val="24"/>
        </w:rPr>
        <w:t xml:space="preserve">obchodu k jako jedna z cest, jak pozitivně ovlivnit úspory energie v ČR. </w:t>
      </w:r>
      <w:r w:rsidR="00360B45">
        <w:rPr>
          <w:sz w:val="24"/>
          <w:szCs w:val="24"/>
        </w:rPr>
        <w:t xml:space="preserve">Lze ho vnímat jako </w:t>
      </w:r>
      <w:r w:rsidR="00BD0CE3" w:rsidRPr="0073292B">
        <w:rPr>
          <w:sz w:val="24"/>
          <w:szCs w:val="24"/>
        </w:rPr>
        <w:t>doplňkový program k energetickým programům podporovaným ze strukturálních fondů Evropské unie.</w:t>
      </w:r>
      <w:r w:rsidRPr="0073292B">
        <w:rPr>
          <w:sz w:val="24"/>
          <w:szCs w:val="24"/>
        </w:rPr>
        <w:t xml:space="preserve"> </w:t>
      </w:r>
    </w:p>
    <w:p w:rsidR="002C6680" w:rsidRPr="00D302BE" w:rsidRDefault="002C6680" w:rsidP="00FD0B17">
      <w:pPr>
        <w:pStyle w:val="Nadpis3"/>
        <w:numPr>
          <w:ilvl w:val="1"/>
          <w:numId w:val="32"/>
        </w:numPr>
        <w:spacing w:before="360"/>
        <w:ind w:left="788" w:hanging="431"/>
      </w:pPr>
      <w:bookmarkStart w:id="0" w:name="_Toc388021628"/>
      <w:bookmarkStart w:id="1" w:name="_Toc388021753"/>
      <w:r w:rsidRPr="00D302BE">
        <w:t>OBLASTI PODPORY A ROZDĚLENÍ PROSTŘEDKŮ</w:t>
      </w:r>
      <w:bookmarkEnd w:id="0"/>
      <w:bookmarkEnd w:id="1"/>
    </w:p>
    <w:p w:rsidR="00581D57" w:rsidRPr="0073292B" w:rsidRDefault="00581D57" w:rsidP="0073292B">
      <w:pPr>
        <w:spacing w:after="120"/>
        <w:jc w:val="both"/>
        <w:rPr>
          <w:sz w:val="24"/>
          <w:szCs w:val="24"/>
        </w:rPr>
      </w:pPr>
      <w:r w:rsidRPr="0073292B">
        <w:rPr>
          <w:sz w:val="24"/>
          <w:szCs w:val="24"/>
        </w:rPr>
        <w:t>Oblasti podpory:</w:t>
      </w:r>
    </w:p>
    <w:p w:rsidR="009B1E62" w:rsidRPr="0073292B" w:rsidRDefault="009B1E62" w:rsidP="003E4497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 w:rsidRPr="0073292B">
        <w:rPr>
          <w:b/>
          <w:bCs/>
          <w:sz w:val="24"/>
        </w:rPr>
        <w:t xml:space="preserve">Energetický audit </w:t>
      </w:r>
      <w:r w:rsidR="00BE733E" w:rsidRPr="0073292B">
        <w:rPr>
          <w:sz w:val="24"/>
        </w:rPr>
        <w:t>–</w:t>
      </w:r>
      <w:r w:rsidRPr="0073292B">
        <w:rPr>
          <w:sz w:val="24"/>
        </w:rPr>
        <w:t xml:space="preserve"> </w:t>
      </w:r>
      <w:r w:rsidR="00BE733E" w:rsidRPr="0073292B">
        <w:rPr>
          <w:sz w:val="24"/>
        </w:rPr>
        <w:t>podpora pro velmi malé obce při rozhodování o vhodnosti plánovaných úsporných energetických opatření;</w:t>
      </w:r>
    </w:p>
    <w:p w:rsidR="00581D57" w:rsidRPr="0073292B" w:rsidRDefault="0035170B" w:rsidP="003E4497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 w:rsidRPr="0073292B">
        <w:rPr>
          <w:b/>
          <w:bCs/>
          <w:sz w:val="24"/>
        </w:rPr>
        <w:t>Úspory</w:t>
      </w:r>
      <w:r w:rsidR="00581D57" w:rsidRPr="0073292B">
        <w:rPr>
          <w:b/>
          <w:bCs/>
          <w:sz w:val="24"/>
        </w:rPr>
        <w:t xml:space="preserve"> energie </w:t>
      </w:r>
      <w:r w:rsidRPr="0073292B">
        <w:rPr>
          <w:b/>
          <w:bCs/>
          <w:sz w:val="24"/>
        </w:rPr>
        <w:t>–</w:t>
      </w:r>
      <w:r w:rsidR="00F13D5D" w:rsidRPr="0073292B">
        <w:rPr>
          <w:b/>
          <w:bCs/>
          <w:sz w:val="24"/>
        </w:rPr>
        <w:t xml:space="preserve"> </w:t>
      </w:r>
      <w:r w:rsidRPr="0073292B">
        <w:rPr>
          <w:bCs/>
          <w:sz w:val="24"/>
        </w:rPr>
        <w:t>komplexní opatření ke snížení energetické náročnosti osvětlovací soustavy, ú</w:t>
      </w:r>
      <w:r w:rsidRPr="0073292B">
        <w:rPr>
          <w:sz w:val="24"/>
        </w:rPr>
        <w:t>spory energie ve výrobních průmyslových procesech, rekonstrukce otopné soustavy a zdroje tepla v budově, zařízení k využití tepelné nebo tlakové odpadní energie;</w:t>
      </w:r>
      <w:r w:rsidR="00581D57" w:rsidRPr="0073292B">
        <w:rPr>
          <w:sz w:val="24"/>
        </w:rPr>
        <w:t xml:space="preserve"> </w:t>
      </w:r>
    </w:p>
    <w:p w:rsidR="00581D57" w:rsidRPr="0073292B" w:rsidRDefault="00581D57" w:rsidP="003E4497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 w:rsidRPr="0073292B">
        <w:rPr>
          <w:b/>
          <w:bCs/>
          <w:sz w:val="24"/>
        </w:rPr>
        <w:t>Energetické poradenství</w:t>
      </w:r>
      <w:r w:rsidR="0035170B" w:rsidRPr="0073292B">
        <w:rPr>
          <w:sz w:val="24"/>
        </w:rPr>
        <w:t xml:space="preserve"> - </w:t>
      </w:r>
      <w:r w:rsidR="00F13D5D" w:rsidRPr="0073292B">
        <w:rPr>
          <w:sz w:val="24"/>
        </w:rPr>
        <w:t>e</w:t>
      </w:r>
      <w:r w:rsidRPr="0073292B">
        <w:rPr>
          <w:sz w:val="24"/>
        </w:rPr>
        <w:t xml:space="preserve">nergetická konzultační a informační střediska </w:t>
      </w:r>
      <w:r w:rsidR="00BD0CE3" w:rsidRPr="0073292B">
        <w:rPr>
          <w:sz w:val="24"/>
        </w:rPr>
        <w:t>(</w:t>
      </w:r>
      <w:r w:rsidRPr="0073292B">
        <w:rPr>
          <w:sz w:val="24"/>
        </w:rPr>
        <w:t>EKIS</w:t>
      </w:r>
      <w:r w:rsidR="00BD0CE3" w:rsidRPr="0073292B">
        <w:rPr>
          <w:sz w:val="24"/>
        </w:rPr>
        <w:t>);</w:t>
      </w:r>
    </w:p>
    <w:p w:rsidR="00581D57" w:rsidRPr="0073292B" w:rsidRDefault="00581D57" w:rsidP="003E4497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 w:rsidRPr="0073292B">
        <w:rPr>
          <w:b/>
          <w:bCs/>
          <w:sz w:val="24"/>
        </w:rPr>
        <w:t>Propagace</w:t>
      </w:r>
      <w:r w:rsidRPr="0073292B">
        <w:rPr>
          <w:sz w:val="24"/>
        </w:rPr>
        <w:t xml:space="preserve"> </w:t>
      </w:r>
      <w:r w:rsidR="0035170B" w:rsidRPr="0073292B">
        <w:rPr>
          <w:sz w:val="24"/>
        </w:rPr>
        <w:t xml:space="preserve">a vzdělávání </w:t>
      </w:r>
      <w:r w:rsidRPr="0073292B">
        <w:rPr>
          <w:sz w:val="24"/>
        </w:rPr>
        <w:t>- kurz, seminář v oblasti energetiky,</w:t>
      </w:r>
      <w:r w:rsidR="00F13D5D" w:rsidRPr="0073292B">
        <w:rPr>
          <w:sz w:val="24"/>
        </w:rPr>
        <w:t xml:space="preserve"> p</w:t>
      </w:r>
      <w:r w:rsidRPr="0073292B">
        <w:rPr>
          <w:sz w:val="24"/>
        </w:rPr>
        <w:t xml:space="preserve">ublikace, příručky a informační materiály v oblasti </w:t>
      </w:r>
      <w:r w:rsidR="0035170B" w:rsidRPr="0073292B">
        <w:rPr>
          <w:sz w:val="24"/>
        </w:rPr>
        <w:t>energetiky;</w:t>
      </w:r>
    </w:p>
    <w:p w:rsidR="0035170B" w:rsidRPr="0073292B" w:rsidRDefault="0035170B" w:rsidP="003E4497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 w:rsidRPr="0073292B">
        <w:rPr>
          <w:b/>
          <w:sz w:val="24"/>
        </w:rPr>
        <w:t>Energetický management –</w:t>
      </w:r>
      <w:r w:rsidRPr="0073292B">
        <w:rPr>
          <w:sz w:val="24"/>
        </w:rPr>
        <w:t xml:space="preserve"> zavedení systematického managementu hospodaření energií </w:t>
      </w:r>
      <w:r w:rsidR="00BD0CE3" w:rsidRPr="0073292B">
        <w:rPr>
          <w:sz w:val="24"/>
        </w:rPr>
        <w:t>podle ČSN EN ISO 50001</w:t>
      </w:r>
      <w:r w:rsidRPr="0073292B">
        <w:rPr>
          <w:sz w:val="24"/>
        </w:rPr>
        <w:t>, příprava energeticky úsporných projektů řešených metodou EPC;</w:t>
      </w:r>
    </w:p>
    <w:p w:rsidR="00BE733E" w:rsidRPr="0073292B" w:rsidRDefault="00BE733E" w:rsidP="003E4497">
      <w:pPr>
        <w:numPr>
          <w:ilvl w:val="0"/>
          <w:numId w:val="1"/>
        </w:numPr>
        <w:spacing w:after="120"/>
        <w:ind w:left="714" w:hanging="357"/>
        <w:jc w:val="both"/>
        <w:rPr>
          <w:sz w:val="24"/>
        </w:rPr>
      </w:pPr>
      <w:r w:rsidRPr="0073292B">
        <w:rPr>
          <w:b/>
          <w:bCs/>
          <w:sz w:val="24"/>
        </w:rPr>
        <w:t>Specifické a pilotní projekty</w:t>
      </w:r>
      <w:r w:rsidRPr="0073292B">
        <w:rPr>
          <w:sz w:val="24"/>
        </w:rPr>
        <w:t xml:space="preserve"> - projekty vzdělávání a studie.</w:t>
      </w:r>
    </w:p>
    <w:p w:rsidR="00581D57" w:rsidRPr="0073292B" w:rsidRDefault="00581D57" w:rsidP="0073292B">
      <w:pPr>
        <w:spacing w:after="120"/>
        <w:jc w:val="both"/>
        <w:rPr>
          <w:sz w:val="24"/>
        </w:rPr>
      </w:pPr>
    </w:p>
    <w:p w:rsidR="00581D57" w:rsidRPr="0073292B" w:rsidRDefault="00581D57" w:rsidP="0073292B">
      <w:pPr>
        <w:pStyle w:val="Zkladntextodsazen3"/>
        <w:spacing w:after="120"/>
        <w:ind w:firstLine="0"/>
      </w:pPr>
      <w:r w:rsidRPr="0073292B">
        <w:t>V roce 201</w:t>
      </w:r>
      <w:r w:rsidR="00E817F1" w:rsidRPr="0073292B">
        <w:t>3</w:t>
      </w:r>
      <w:r w:rsidRPr="0073292B">
        <w:t xml:space="preserve"> byly </w:t>
      </w:r>
      <w:r w:rsidR="00FD0B17">
        <w:t>přiděleny</w:t>
      </w:r>
      <w:r w:rsidRPr="0073292B">
        <w:t xml:space="preserve"> dotace z Programu EFEKT v celkové výši </w:t>
      </w:r>
      <w:r w:rsidR="00BA1BCE" w:rsidRPr="0073292B">
        <w:t>27,</w:t>
      </w:r>
      <w:r w:rsidR="00BE733E" w:rsidRPr="0073292B">
        <w:t>8</w:t>
      </w:r>
      <w:r w:rsidRPr="0073292B">
        <w:t> miliónů Kč</w:t>
      </w:r>
      <w:r w:rsidR="00FD0B17">
        <w:t xml:space="preserve"> </w:t>
      </w:r>
      <w:r w:rsidR="00FD0B17" w:rsidRPr="00FD0B17">
        <w:rPr>
          <w:b w:val="0"/>
        </w:rPr>
        <w:t xml:space="preserve">(veškeré finanční údaje o dotacích </w:t>
      </w:r>
      <w:r w:rsidR="00FD0B17">
        <w:rPr>
          <w:b w:val="0"/>
        </w:rPr>
        <w:t xml:space="preserve">v následujícím textu </w:t>
      </w:r>
      <w:r w:rsidR="00FD0B17" w:rsidRPr="00FD0B17">
        <w:rPr>
          <w:b w:val="0"/>
        </w:rPr>
        <w:t xml:space="preserve">jsou uvedeny ve </w:t>
      </w:r>
      <w:r w:rsidR="00EC3803">
        <w:rPr>
          <w:b w:val="0"/>
        </w:rPr>
        <w:t xml:space="preserve">skutečné konečné </w:t>
      </w:r>
      <w:r w:rsidR="00FD0B17" w:rsidRPr="00FD0B17">
        <w:rPr>
          <w:b w:val="0"/>
        </w:rPr>
        <w:t>výši po finančním vypořádání)</w:t>
      </w:r>
      <w:r w:rsidRPr="00FD0B17">
        <w:rPr>
          <w:b w:val="0"/>
        </w:rPr>
        <w:t>,</w:t>
      </w:r>
      <w:r w:rsidRPr="0073292B">
        <w:t xml:space="preserve"> kterými bylo podpořeno </w:t>
      </w:r>
      <w:r w:rsidR="006609DF" w:rsidRPr="0073292B">
        <w:t>1</w:t>
      </w:r>
      <w:r w:rsidR="009B6CC8" w:rsidRPr="0073292B">
        <w:t>5</w:t>
      </w:r>
      <w:r w:rsidR="00BE733E" w:rsidRPr="0073292B">
        <w:t>4</w:t>
      </w:r>
      <w:r w:rsidRPr="0073292B">
        <w:t xml:space="preserve"> projektů v oblasti úspor energie s celkovými investičními náklady </w:t>
      </w:r>
      <w:r w:rsidR="001F6AC1" w:rsidRPr="0073292B">
        <w:t>téměř</w:t>
      </w:r>
      <w:r w:rsidR="009B6CC8" w:rsidRPr="0073292B">
        <w:t xml:space="preserve"> </w:t>
      </w:r>
      <w:r w:rsidR="00BE733E" w:rsidRPr="0073292B">
        <w:t>44</w:t>
      </w:r>
      <w:r w:rsidRPr="0073292B">
        <w:t xml:space="preserve"> miliónů Kč.</w:t>
      </w:r>
      <w:r w:rsidR="00FD0B17">
        <w:t xml:space="preserve"> </w:t>
      </w:r>
    </w:p>
    <w:p w:rsidR="00A20204" w:rsidRDefault="00A20204" w:rsidP="00A20204">
      <w:pPr>
        <w:pStyle w:val="Zkladntextodsazen3"/>
        <w:ind w:firstLine="0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560"/>
        <w:gridCol w:w="2483"/>
        <w:gridCol w:w="1984"/>
      </w:tblGrid>
      <w:tr w:rsidR="00A20204" w:rsidRPr="00633676" w:rsidTr="008803E5">
        <w:trPr>
          <w:cantSplit/>
          <w:trHeight w:val="54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6336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33676">
              <w:rPr>
                <w:b/>
                <w:bCs/>
                <w:color w:val="000000"/>
                <w:sz w:val="24"/>
                <w:szCs w:val="24"/>
              </w:rPr>
              <w:t>Oblast podpory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6336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33676">
              <w:rPr>
                <w:b/>
                <w:bCs/>
                <w:color w:val="000000"/>
                <w:sz w:val="24"/>
                <w:szCs w:val="24"/>
              </w:rPr>
              <w:t xml:space="preserve">Podpořené </w:t>
            </w:r>
            <w:r w:rsidR="00633676" w:rsidRPr="0063367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3676">
              <w:rPr>
                <w:b/>
                <w:bCs/>
                <w:color w:val="000000"/>
                <w:sz w:val="24"/>
                <w:szCs w:val="24"/>
              </w:rPr>
              <w:t>projekty</w:t>
            </w:r>
            <w:proofErr w:type="gramEnd"/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6336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33676">
              <w:rPr>
                <w:b/>
                <w:bCs/>
                <w:color w:val="000000"/>
                <w:sz w:val="24"/>
                <w:szCs w:val="24"/>
              </w:rPr>
              <w:t>Celkové investiční náklady Kč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4E14BE" w:rsidP="0063367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Přiděl</w:t>
            </w:r>
            <w:r w:rsidR="00A20204" w:rsidRPr="00633676">
              <w:rPr>
                <w:b/>
                <w:bCs/>
                <w:color w:val="000000"/>
                <w:sz w:val="24"/>
                <w:szCs w:val="24"/>
              </w:rPr>
              <w:t>ená dotace Kč</w:t>
            </w:r>
          </w:p>
        </w:tc>
      </w:tr>
      <w:tr w:rsidR="00A20204" w:rsidRPr="00633676" w:rsidTr="00A20204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Energetický audit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189 830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75 932</w:t>
            </w:r>
          </w:p>
        </w:tc>
      </w:tr>
      <w:tr w:rsidR="00A20204" w:rsidRPr="00633676" w:rsidTr="00A2020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Úspory energie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21 626 548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7 430 850</w:t>
            </w:r>
          </w:p>
        </w:tc>
      </w:tr>
      <w:tr w:rsidR="00A20204" w:rsidRPr="00633676" w:rsidTr="00A2020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Energetické poradenství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rFonts w:eastAsia="Arial Unicode M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rFonts w:eastAsia="Arial Unicode MS"/>
                <w:color w:val="000000"/>
                <w:sz w:val="24"/>
                <w:szCs w:val="24"/>
              </w:rPr>
              <w:t>6 253 776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rFonts w:eastAsia="Arial Unicode MS"/>
                <w:color w:val="000000"/>
                <w:sz w:val="24"/>
                <w:szCs w:val="24"/>
              </w:rPr>
              <w:t>6 253 776</w:t>
            </w:r>
          </w:p>
        </w:tc>
      </w:tr>
      <w:tr w:rsidR="00A20204" w:rsidRPr="00633676" w:rsidTr="00A2020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Propagace, vzdělávání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rFonts w:eastAsia="Arial Unicode M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rFonts w:eastAsia="Arial Unicode MS"/>
                <w:color w:val="000000"/>
                <w:sz w:val="24"/>
                <w:szCs w:val="24"/>
              </w:rPr>
              <w:t>12 425 000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rFonts w:eastAsia="Arial Unicode MS"/>
                <w:color w:val="000000"/>
                <w:sz w:val="24"/>
                <w:szCs w:val="24"/>
              </w:rPr>
              <w:t>11 600 000</w:t>
            </w:r>
          </w:p>
        </w:tc>
      </w:tr>
      <w:tr w:rsidR="00A20204" w:rsidRPr="00633676" w:rsidTr="00A2020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Energetický management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3 340 250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2 432 767</w:t>
            </w:r>
          </w:p>
        </w:tc>
      </w:tr>
      <w:tr w:rsidR="00A20204" w:rsidRPr="00633676" w:rsidTr="00A20204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color w:val="000000"/>
                <w:sz w:val="24"/>
                <w:szCs w:val="24"/>
              </w:rPr>
              <w:t>Specifické a pilotní projekty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rFonts w:eastAsia="Arial Unicode MS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rFonts w:eastAsia="Arial Unicode MS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633676">
              <w:rPr>
                <w:rFonts w:eastAsia="Arial Unicode MS"/>
                <w:color w:val="000000"/>
                <w:sz w:val="24"/>
                <w:szCs w:val="24"/>
              </w:rPr>
              <w:t>0</w:t>
            </w:r>
          </w:p>
        </w:tc>
      </w:tr>
      <w:tr w:rsidR="00A20204" w:rsidRPr="006F09A2" w:rsidTr="00A20204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33676">
              <w:rPr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33676">
              <w:rPr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33676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33676">
              <w:rPr>
                <w:b/>
                <w:bCs/>
                <w:color w:val="000000"/>
                <w:sz w:val="24"/>
                <w:szCs w:val="24"/>
              </w:rPr>
              <w:t>43 835 404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04" w:rsidRPr="006F09A2" w:rsidRDefault="00A20204" w:rsidP="00A2020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33676">
              <w:rPr>
                <w:b/>
                <w:bCs/>
                <w:color w:val="000000"/>
                <w:sz w:val="24"/>
                <w:szCs w:val="24"/>
              </w:rPr>
              <w:t>27 793 325</w:t>
            </w:r>
          </w:p>
        </w:tc>
      </w:tr>
    </w:tbl>
    <w:p w:rsidR="00581D57" w:rsidRDefault="00581D57" w:rsidP="00F1255E">
      <w:pPr>
        <w:pStyle w:val="Nadpis1"/>
        <w:tabs>
          <w:tab w:val="left" w:pos="0"/>
        </w:tabs>
      </w:pPr>
      <w:bookmarkStart w:id="2" w:name="_Toc388021629"/>
      <w:bookmarkStart w:id="3" w:name="_Toc388021754"/>
      <w:r w:rsidRPr="00C97DB1">
        <w:t xml:space="preserve">Tab. </w:t>
      </w:r>
      <w:proofErr w:type="gramStart"/>
      <w:r w:rsidRPr="00C97DB1">
        <w:t>č.</w:t>
      </w:r>
      <w:proofErr w:type="gramEnd"/>
      <w:r w:rsidRPr="00C97DB1">
        <w:t xml:space="preserve"> 1 – Přehled podpořených projektů </w:t>
      </w:r>
      <w:r w:rsidR="00B76D90">
        <w:t>po</w:t>
      </w:r>
      <w:r w:rsidRPr="00C97DB1">
        <w:t>dle oblastí podpory včetně celkových nákladů</w:t>
      </w:r>
      <w:bookmarkEnd w:id="2"/>
      <w:bookmarkEnd w:id="3"/>
    </w:p>
    <w:p w:rsidR="00633676" w:rsidRPr="00633676" w:rsidRDefault="00633676" w:rsidP="00633676"/>
    <w:p w:rsidR="00B711AB" w:rsidRDefault="00581D57" w:rsidP="00633676">
      <w:pPr>
        <w:pStyle w:val="Zkladntext2"/>
        <w:spacing w:after="120"/>
      </w:pPr>
      <w:r w:rsidRPr="00633676">
        <w:t xml:space="preserve">Spektrum </w:t>
      </w:r>
      <w:r w:rsidR="008803E5" w:rsidRPr="00633676">
        <w:t>podpořených</w:t>
      </w:r>
      <w:r w:rsidRPr="00633676">
        <w:t xml:space="preserve"> aktivit se </w:t>
      </w:r>
      <w:r w:rsidR="008803E5" w:rsidRPr="00633676">
        <w:t>oproti předchozímu roku</w:t>
      </w:r>
      <w:r w:rsidRPr="00633676">
        <w:t xml:space="preserve"> </w:t>
      </w:r>
      <w:r w:rsidR="008803E5" w:rsidRPr="00633676">
        <w:t xml:space="preserve">snížilo zejména kvůli každoroční </w:t>
      </w:r>
      <w:r w:rsidR="00F1255E" w:rsidRPr="00633676">
        <w:t>snaze o přesnější zacílení programu</w:t>
      </w:r>
      <w:r w:rsidRPr="00633676">
        <w:t xml:space="preserve">. Důraz </w:t>
      </w:r>
      <w:r w:rsidR="008803E5" w:rsidRPr="00633676">
        <w:t>byl</w:t>
      </w:r>
      <w:r w:rsidRPr="00633676">
        <w:t>  kladen na akce s</w:t>
      </w:r>
      <w:r w:rsidR="00B30B8D" w:rsidRPr="00633676">
        <w:t> </w:t>
      </w:r>
      <w:r w:rsidRPr="00633676">
        <w:t>nepřímými úsporami energie (poradenství, propagace</w:t>
      </w:r>
      <w:r w:rsidR="008803E5" w:rsidRPr="00633676">
        <w:t>, management</w:t>
      </w:r>
      <w:r w:rsidRPr="00633676">
        <w:t xml:space="preserve">) nejen </w:t>
      </w:r>
      <w:r w:rsidR="008803E5" w:rsidRPr="00633676">
        <w:t>jako</w:t>
      </w:r>
      <w:r w:rsidR="0024453B" w:rsidRPr="00633676">
        <w:t> </w:t>
      </w:r>
      <w:r w:rsidRPr="00633676">
        <w:t>důsled</w:t>
      </w:r>
      <w:r w:rsidR="008803E5" w:rsidRPr="00633676">
        <w:t>e</w:t>
      </w:r>
      <w:r w:rsidRPr="00633676">
        <w:t xml:space="preserve">k </w:t>
      </w:r>
      <w:r w:rsidR="008803E5" w:rsidRPr="00633676">
        <w:t xml:space="preserve">nízkého </w:t>
      </w:r>
      <w:r w:rsidRPr="00633676">
        <w:t>rozpočtu programu, ale také vzhledem k</w:t>
      </w:r>
      <w:r w:rsidR="00EB6742" w:rsidRPr="00633676">
        <w:t> </w:t>
      </w:r>
      <w:r w:rsidRPr="00633676">
        <w:t>operačním programům, které se</w:t>
      </w:r>
      <w:r w:rsidR="0024453B" w:rsidRPr="00633676">
        <w:t> </w:t>
      </w:r>
      <w:r w:rsidRPr="00633676">
        <w:t xml:space="preserve">podpoře </w:t>
      </w:r>
      <w:r w:rsidR="00B30B8D" w:rsidRPr="00633676">
        <w:t xml:space="preserve">investičních </w:t>
      </w:r>
      <w:r w:rsidRPr="00633676">
        <w:t xml:space="preserve">projektů věnují velkoryseji s podporou strukturálních fondů EU. </w:t>
      </w:r>
      <w:r w:rsidR="00D37FCD" w:rsidRPr="00633676">
        <w:t>A</w:t>
      </w:r>
      <w:r w:rsidRPr="00633676">
        <w:t xml:space="preserve">kce s přímými úsporami </w:t>
      </w:r>
      <w:r w:rsidR="00D37FCD" w:rsidRPr="00633676">
        <w:t xml:space="preserve">však </w:t>
      </w:r>
      <w:r w:rsidRPr="00633676">
        <w:t>zůstávají nedílnou součástí programu EFEKT, zejména ty, které nejsou podporovány z jiných zdrojů.</w:t>
      </w:r>
    </w:p>
    <w:p w:rsidR="008803E5" w:rsidRDefault="008803E5" w:rsidP="00633676">
      <w:pPr>
        <w:pStyle w:val="Zkladntext2"/>
        <w:spacing w:after="120"/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7"/>
        <w:gridCol w:w="474"/>
        <w:gridCol w:w="3124"/>
        <w:gridCol w:w="851"/>
        <w:gridCol w:w="1417"/>
        <w:gridCol w:w="851"/>
        <w:gridCol w:w="1275"/>
      </w:tblGrid>
      <w:tr w:rsidR="007057C1" w:rsidRPr="00032AB3" w:rsidTr="008803E5">
        <w:trPr>
          <w:trHeight w:val="67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EC380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32AB3">
              <w:rPr>
                <w:b/>
                <w:bCs/>
                <w:color w:val="000000"/>
              </w:rPr>
              <w:t>Oblast podpory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EC380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32AB3">
              <w:rPr>
                <w:b/>
                <w:bCs/>
                <w:color w:val="000000"/>
              </w:rPr>
              <w:t>Aktivita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EC380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32AB3">
              <w:rPr>
                <w:b/>
                <w:bCs/>
                <w:color w:val="000000"/>
              </w:rPr>
              <w:t xml:space="preserve">Podané </w:t>
            </w:r>
            <w:r w:rsidRPr="00032AB3">
              <w:rPr>
                <w:b/>
                <w:bCs/>
                <w:color w:val="000000"/>
              </w:rPr>
              <w:br/>
              <w:t>žádosti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EC380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32AB3">
              <w:rPr>
                <w:b/>
                <w:bCs/>
                <w:color w:val="000000"/>
              </w:rPr>
              <w:t>Požadovaná</w:t>
            </w:r>
            <w:r w:rsidRPr="00032AB3">
              <w:rPr>
                <w:b/>
                <w:bCs/>
                <w:color w:val="000000"/>
              </w:rPr>
              <w:br/>
              <w:t>dotace</w:t>
            </w:r>
            <w:r w:rsidRPr="00032AB3">
              <w:rPr>
                <w:b/>
                <w:bCs/>
                <w:color w:val="000000"/>
              </w:rPr>
              <w:br/>
              <w:t>Kč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C4" w:rsidRPr="00032AB3" w:rsidRDefault="007057C1" w:rsidP="00EC380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AB3">
              <w:rPr>
                <w:b/>
                <w:bCs/>
                <w:color w:val="000000"/>
                <w:sz w:val="18"/>
                <w:szCs w:val="18"/>
              </w:rPr>
              <w:t>Podpo</w:t>
            </w:r>
            <w:proofErr w:type="spellEnd"/>
            <w:r w:rsidR="004567C4" w:rsidRPr="00032AB3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  <w:p w:rsidR="007057C1" w:rsidRPr="00032AB3" w:rsidRDefault="007057C1" w:rsidP="00EC380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AB3">
              <w:rPr>
                <w:b/>
                <w:bCs/>
                <w:color w:val="000000"/>
                <w:sz w:val="18"/>
                <w:szCs w:val="18"/>
              </w:rPr>
              <w:t>řené</w:t>
            </w:r>
            <w:proofErr w:type="spellEnd"/>
            <w:r w:rsidRPr="00032AB3">
              <w:rPr>
                <w:b/>
                <w:bCs/>
                <w:color w:val="000000"/>
                <w:sz w:val="18"/>
                <w:szCs w:val="18"/>
              </w:rPr>
              <w:br/>
              <w:t>projekty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EC3803" w:rsidP="00EC380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7057C1" w:rsidRPr="00032AB3">
              <w:rPr>
                <w:b/>
                <w:bCs/>
                <w:color w:val="000000"/>
              </w:rPr>
              <w:t xml:space="preserve">řidělená </w:t>
            </w:r>
            <w:r w:rsidR="007057C1" w:rsidRPr="00032AB3">
              <w:rPr>
                <w:b/>
                <w:bCs/>
                <w:color w:val="000000"/>
              </w:rPr>
              <w:br/>
              <w:t>dotace Kč</w:t>
            </w:r>
          </w:p>
        </w:tc>
      </w:tr>
      <w:tr w:rsidR="007057C1" w:rsidRPr="00032AB3" w:rsidTr="008803E5">
        <w:trPr>
          <w:trHeight w:val="572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Úspory energie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32AB3">
              <w:rPr>
                <w:color w:val="000000"/>
                <w:sz w:val="22"/>
                <w:szCs w:val="22"/>
              </w:rPr>
              <w:t>B.1</w:t>
            </w:r>
            <w:proofErr w:type="gramEnd"/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8803E5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O</w:t>
            </w:r>
            <w:r w:rsidR="007057C1" w:rsidRPr="00032AB3">
              <w:rPr>
                <w:color w:val="000000"/>
                <w:sz w:val="22"/>
                <w:szCs w:val="22"/>
              </w:rPr>
              <w:t>patření ke snížení energetické náročnosti veřejného osvětlení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19 774 324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3 597 650</w:t>
            </w:r>
          </w:p>
        </w:tc>
      </w:tr>
      <w:tr w:rsidR="007057C1" w:rsidRPr="00032AB3" w:rsidTr="00075382">
        <w:trPr>
          <w:trHeight w:val="51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32AB3">
              <w:rPr>
                <w:color w:val="000000"/>
                <w:sz w:val="22"/>
                <w:szCs w:val="22"/>
              </w:rPr>
              <w:t>B.2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Úspory energie ve výrobních průmyslových procesech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5 366 800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57C1" w:rsidRPr="00032AB3" w:rsidTr="00075382">
        <w:trPr>
          <w:trHeight w:val="51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32AB3">
              <w:rPr>
                <w:color w:val="000000"/>
                <w:sz w:val="22"/>
                <w:szCs w:val="22"/>
              </w:rPr>
              <w:t>B.3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Rekonstrukce otopné soustavy a zdroje tepla v budově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26 008 392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3 833 200</w:t>
            </w:r>
          </w:p>
        </w:tc>
      </w:tr>
      <w:tr w:rsidR="007057C1" w:rsidRPr="00032AB3" w:rsidTr="00075382">
        <w:trPr>
          <w:trHeight w:val="51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32AB3">
              <w:rPr>
                <w:color w:val="000000"/>
                <w:sz w:val="22"/>
                <w:szCs w:val="22"/>
              </w:rPr>
              <w:t>B.4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Zařízení k využití tepelné nebo tlakové odpadní energie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9 491 171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57C1" w:rsidRPr="00032AB3" w:rsidTr="008803E5">
        <w:trPr>
          <w:trHeight w:val="332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032AB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Investiční projekty celkem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60 640 687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7 430 850</w:t>
            </w:r>
          </w:p>
        </w:tc>
      </w:tr>
      <w:tr w:rsidR="007057C1" w:rsidRPr="00032AB3" w:rsidTr="008803E5">
        <w:trPr>
          <w:trHeight w:val="334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32AB3">
              <w:rPr>
                <w:color w:val="000000"/>
              </w:rPr>
              <w:t>Plán úspor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gramStart"/>
            <w:r w:rsidRPr="00032AB3">
              <w:rPr>
                <w:color w:val="000000"/>
              </w:rPr>
              <w:t>A.1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Energetický audit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211 000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75 932</w:t>
            </w:r>
          </w:p>
        </w:tc>
      </w:tr>
      <w:tr w:rsidR="007057C1" w:rsidRPr="00032AB3" w:rsidTr="00075382">
        <w:trPr>
          <w:trHeight w:val="642"/>
        </w:trPr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32AB3">
              <w:rPr>
                <w:color w:val="000000"/>
              </w:rPr>
              <w:t>Energetické poradenství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proofErr w:type="gramStart"/>
            <w:r w:rsidRPr="00032AB3">
              <w:rPr>
                <w:color w:val="000000"/>
              </w:rPr>
              <w:t>C.1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Energetická konzultační a informační střediska (EKIS)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16 200 000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6 253 776</w:t>
            </w:r>
          </w:p>
        </w:tc>
      </w:tr>
      <w:tr w:rsidR="007057C1" w:rsidRPr="00032AB3" w:rsidTr="00075382">
        <w:trPr>
          <w:trHeight w:val="525"/>
        </w:trPr>
        <w:tc>
          <w:tcPr>
            <w:tcW w:w="109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Propagace a vzdělávání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32AB3">
              <w:rPr>
                <w:color w:val="000000"/>
                <w:sz w:val="22"/>
                <w:szCs w:val="22"/>
              </w:rPr>
              <w:t>D.1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Kurz, seminář v oblasti energetiky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20 598 047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3 300 000</w:t>
            </w:r>
          </w:p>
        </w:tc>
      </w:tr>
      <w:tr w:rsidR="007057C1" w:rsidRPr="00032AB3" w:rsidTr="007F4457">
        <w:trPr>
          <w:trHeight w:val="646"/>
        </w:trPr>
        <w:tc>
          <w:tcPr>
            <w:tcW w:w="109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32AB3">
              <w:rPr>
                <w:color w:val="000000"/>
                <w:sz w:val="22"/>
                <w:szCs w:val="22"/>
              </w:rPr>
              <w:t>D.2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Publikace, příručky a informační materiály v oblasti energetiky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25 914 747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8 300 000</w:t>
            </w:r>
          </w:p>
        </w:tc>
      </w:tr>
      <w:tr w:rsidR="007057C1" w:rsidRPr="00032AB3" w:rsidTr="00075382">
        <w:trPr>
          <w:trHeight w:val="510"/>
        </w:trPr>
        <w:tc>
          <w:tcPr>
            <w:tcW w:w="109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Energetický management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32AB3">
              <w:rPr>
                <w:color w:val="000000"/>
                <w:sz w:val="22"/>
                <w:szCs w:val="22"/>
              </w:rPr>
              <w:t>E.1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8803E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 xml:space="preserve">Zavedení systematického managementu hospodaření energií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1 300 760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924 800</w:t>
            </w:r>
          </w:p>
        </w:tc>
      </w:tr>
      <w:tr w:rsidR="007057C1" w:rsidRPr="00032AB3" w:rsidTr="00075382">
        <w:trPr>
          <w:trHeight w:val="630"/>
        </w:trPr>
        <w:tc>
          <w:tcPr>
            <w:tcW w:w="109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32AB3">
              <w:rPr>
                <w:color w:val="000000"/>
                <w:sz w:val="22"/>
                <w:szCs w:val="22"/>
              </w:rPr>
              <w:t>E.2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Příprava energeticky úsporných projektů řešených metodou EPC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2 325 000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1 507 967</w:t>
            </w:r>
          </w:p>
        </w:tc>
      </w:tr>
      <w:tr w:rsidR="007057C1" w:rsidRPr="00032AB3" w:rsidTr="00075382">
        <w:trPr>
          <w:trHeight w:val="510"/>
        </w:trPr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32AB3">
              <w:rPr>
                <w:color w:val="000000"/>
              </w:rPr>
              <w:t>Specifické projekty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32AB3">
              <w:rPr>
                <w:color w:val="000000"/>
                <w:sz w:val="22"/>
                <w:szCs w:val="22"/>
              </w:rPr>
              <w:t>F.1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Projekty vzdělávání a studie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32AB3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57C1" w:rsidRPr="00032AB3" w:rsidTr="008803E5">
        <w:trPr>
          <w:trHeight w:val="383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C1" w:rsidRPr="00032AB3" w:rsidRDefault="007057C1" w:rsidP="00032AB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Neinvestiční projekty</w:t>
            </w:r>
            <w:r w:rsidR="00AA3F95" w:rsidRPr="00032AB3">
              <w:rPr>
                <w:b/>
                <w:bCs/>
                <w:color w:val="000000"/>
                <w:sz w:val="22"/>
                <w:szCs w:val="22"/>
              </w:rPr>
              <w:t xml:space="preserve"> celkem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66 549 554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32AB3">
              <w:rPr>
                <w:b/>
                <w:bCs/>
                <w:color w:val="000000"/>
                <w:sz w:val="22"/>
                <w:szCs w:val="22"/>
              </w:rPr>
              <w:t>20 362 475</w:t>
            </w:r>
          </w:p>
        </w:tc>
      </w:tr>
      <w:tr w:rsidR="007057C1" w:rsidRPr="004567C4" w:rsidTr="008803E5">
        <w:trPr>
          <w:trHeight w:val="17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32AB3">
              <w:rPr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32AB3">
              <w:rPr>
                <w:b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32AB3">
              <w:rPr>
                <w:b/>
                <w:bCs/>
                <w:color w:val="000000"/>
                <w:sz w:val="24"/>
                <w:szCs w:val="24"/>
              </w:rPr>
              <w:t>127 190 241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C1" w:rsidRPr="00032AB3" w:rsidRDefault="007057C1" w:rsidP="007057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32AB3">
              <w:rPr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C1" w:rsidRPr="00032AB3" w:rsidRDefault="007057C1" w:rsidP="007F445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32AB3">
              <w:rPr>
                <w:b/>
                <w:bCs/>
                <w:color w:val="000000"/>
                <w:sz w:val="24"/>
                <w:szCs w:val="24"/>
              </w:rPr>
              <w:t>27 793 325</w:t>
            </w:r>
          </w:p>
        </w:tc>
      </w:tr>
    </w:tbl>
    <w:p w:rsidR="00581D57" w:rsidRDefault="00581D57">
      <w:pPr>
        <w:jc w:val="both"/>
        <w:rPr>
          <w:i/>
          <w:iCs/>
          <w:sz w:val="24"/>
        </w:rPr>
      </w:pPr>
      <w:r w:rsidRPr="00C97DB1">
        <w:rPr>
          <w:i/>
          <w:iCs/>
          <w:sz w:val="24"/>
        </w:rPr>
        <w:t xml:space="preserve">Tab. </w:t>
      </w:r>
      <w:proofErr w:type="gramStart"/>
      <w:r w:rsidRPr="00C97DB1">
        <w:rPr>
          <w:i/>
          <w:iCs/>
          <w:sz w:val="24"/>
        </w:rPr>
        <w:t>č.</w:t>
      </w:r>
      <w:proofErr w:type="gramEnd"/>
      <w:r w:rsidRPr="00C97DB1">
        <w:rPr>
          <w:i/>
          <w:iCs/>
          <w:sz w:val="24"/>
        </w:rPr>
        <w:t xml:space="preserve"> 2 – Přehled podpořených projektů </w:t>
      </w:r>
      <w:r w:rsidR="00B76D90">
        <w:rPr>
          <w:i/>
          <w:iCs/>
          <w:sz w:val="24"/>
        </w:rPr>
        <w:t>po</w:t>
      </w:r>
      <w:r w:rsidRPr="00C97DB1">
        <w:rPr>
          <w:i/>
          <w:iCs/>
          <w:sz w:val="24"/>
        </w:rPr>
        <w:t>dle jednotlivých aktivit</w:t>
      </w:r>
    </w:p>
    <w:p w:rsidR="003441C4" w:rsidRDefault="003441C4">
      <w:pPr>
        <w:jc w:val="both"/>
        <w:rPr>
          <w:i/>
          <w:iCs/>
          <w:sz w:val="24"/>
        </w:rPr>
      </w:pPr>
    </w:p>
    <w:p w:rsidR="003441C4" w:rsidRDefault="003441C4">
      <w:pPr>
        <w:jc w:val="both"/>
        <w:rPr>
          <w:i/>
          <w:iCs/>
          <w:sz w:val="24"/>
        </w:rPr>
      </w:pPr>
      <w:r>
        <w:rPr>
          <w:noProof/>
        </w:rPr>
        <w:drawing>
          <wp:inline distT="0" distB="0" distL="0" distR="0" wp14:anchorId="1F622A1D" wp14:editId="13F6708F">
            <wp:extent cx="5772150" cy="2266950"/>
            <wp:effectExtent l="0" t="0" r="19050" b="190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1BA8" w:rsidRDefault="00381BA8" w:rsidP="00381BA8">
      <w:pPr>
        <w:jc w:val="both"/>
        <w:rPr>
          <w:i/>
          <w:iCs/>
          <w:sz w:val="24"/>
        </w:rPr>
      </w:pPr>
      <w:r w:rsidRPr="00B76D90">
        <w:rPr>
          <w:i/>
          <w:iCs/>
          <w:sz w:val="24"/>
        </w:rPr>
        <w:t xml:space="preserve">Graf č. 1 – Dotace na podpořené projekty </w:t>
      </w:r>
      <w:r w:rsidR="00B76D90">
        <w:rPr>
          <w:i/>
          <w:iCs/>
          <w:sz w:val="24"/>
        </w:rPr>
        <w:t>po</w:t>
      </w:r>
      <w:r w:rsidRPr="00B76D90">
        <w:rPr>
          <w:i/>
          <w:iCs/>
          <w:sz w:val="24"/>
        </w:rPr>
        <w:t xml:space="preserve">dle typu </w:t>
      </w:r>
      <w:r w:rsidR="006C5125" w:rsidRPr="00B76D90">
        <w:rPr>
          <w:i/>
          <w:iCs/>
          <w:sz w:val="24"/>
        </w:rPr>
        <w:t>projektu</w:t>
      </w:r>
      <w:r w:rsidR="00D85897">
        <w:rPr>
          <w:i/>
          <w:iCs/>
          <w:sz w:val="24"/>
        </w:rPr>
        <w:t xml:space="preserve"> (mil. Kč)</w:t>
      </w:r>
    </w:p>
    <w:p w:rsidR="00915B28" w:rsidRDefault="00915B28" w:rsidP="00381BA8">
      <w:pPr>
        <w:jc w:val="both"/>
        <w:rPr>
          <w:i/>
          <w:iCs/>
          <w:sz w:val="24"/>
        </w:rPr>
      </w:pPr>
    </w:p>
    <w:p w:rsidR="00915B28" w:rsidRDefault="00915B28" w:rsidP="00381BA8">
      <w:pPr>
        <w:jc w:val="both"/>
        <w:rPr>
          <w:i/>
          <w:iCs/>
          <w:sz w:val="24"/>
        </w:rPr>
      </w:pPr>
      <w:r>
        <w:rPr>
          <w:noProof/>
        </w:rPr>
        <w:drawing>
          <wp:inline distT="0" distB="0" distL="0" distR="0" wp14:anchorId="7048D625" wp14:editId="354C2C1F">
            <wp:extent cx="5772150" cy="2790825"/>
            <wp:effectExtent l="0" t="0" r="1905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0B0B" w:rsidRDefault="00A80B0B" w:rsidP="00A80B0B">
      <w:pPr>
        <w:jc w:val="both"/>
        <w:rPr>
          <w:i/>
          <w:iCs/>
          <w:sz w:val="24"/>
        </w:rPr>
      </w:pPr>
      <w:r w:rsidRPr="00B76D90">
        <w:rPr>
          <w:i/>
          <w:iCs/>
          <w:sz w:val="24"/>
        </w:rPr>
        <w:t>Graf č. 2 – Dotace a celkové investice podle oblastí podpory (</w:t>
      </w:r>
      <w:r w:rsidR="002306A7" w:rsidRPr="00B76D90">
        <w:rPr>
          <w:i/>
          <w:iCs/>
          <w:sz w:val="24"/>
        </w:rPr>
        <w:t>mil</w:t>
      </w:r>
      <w:r w:rsidRPr="00B76D90">
        <w:rPr>
          <w:i/>
          <w:iCs/>
          <w:sz w:val="24"/>
        </w:rPr>
        <w:t>. Kč)</w:t>
      </w:r>
    </w:p>
    <w:p w:rsidR="007161B1" w:rsidRDefault="007161B1" w:rsidP="00A80B0B">
      <w:pPr>
        <w:jc w:val="both"/>
        <w:rPr>
          <w:i/>
          <w:iCs/>
          <w:sz w:val="24"/>
        </w:rPr>
      </w:pPr>
    </w:p>
    <w:p w:rsidR="007161B1" w:rsidRPr="00EB2903" w:rsidRDefault="007161B1" w:rsidP="00A80B0B">
      <w:pPr>
        <w:jc w:val="both"/>
        <w:rPr>
          <w:i/>
          <w:iCs/>
          <w:sz w:val="24"/>
        </w:rPr>
      </w:pPr>
      <w:r>
        <w:rPr>
          <w:noProof/>
        </w:rPr>
        <w:drawing>
          <wp:inline distT="0" distB="0" distL="0" distR="0" wp14:anchorId="464583A4" wp14:editId="73D8175F">
            <wp:extent cx="5772150" cy="3248025"/>
            <wp:effectExtent l="0" t="0" r="19050" b="952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4DF1" w:rsidRPr="00877ACB" w:rsidRDefault="00A80B0B" w:rsidP="00064DF1">
      <w:pPr>
        <w:rPr>
          <w:i/>
          <w:iCs/>
        </w:rPr>
      </w:pPr>
      <w:proofErr w:type="spellStart"/>
      <w:r w:rsidRPr="00B76D90">
        <w:rPr>
          <w:i/>
          <w:iCs/>
          <w:sz w:val="24"/>
        </w:rPr>
        <w:t>G</w:t>
      </w:r>
      <w:r w:rsidR="00064DF1" w:rsidRPr="00B76D90">
        <w:rPr>
          <w:i/>
          <w:iCs/>
          <w:sz w:val="24"/>
        </w:rPr>
        <w:t>af</w:t>
      </w:r>
      <w:proofErr w:type="spellEnd"/>
      <w:r w:rsidR="00064DF1" w:rsidRPr="00B76D90">
        <w:rPr>
          <w:i/>
          <w:iCs/>
          <w:sz w:val="24"/>
        </w:rPr>
        <w:t xml:space="preserve"> č. </w:t>
      </w:r>
      <w:r w:rsidR="00381BA8" w:rsidRPr="00B76D90">
        <w:rPr>
          <w:i/>
          <w:iCs/>
          <w:sz w:val="24"/>
        </w:rPr>
        <w:t>3</w:t>
      </w:r>
      <w:r w:rsidR="00064DF1" w:rsidRPr="00B76D90">
        <w:rPr>
          <w:i/>
          <w:iCs/>
          <w:sz w:val="24"/>
        </w:rPr>
        <w:t xml:space="preserve"> – </w:t>
      </w:r>
      <w:r w:rsidRPr="00B76D90">
        <w:rPr>
          <w:i/>
          <w:iCs/>
          <w:sz w:val="24"/>
        </w:rPr>
        <w:t xml:space="preserve">Dotace </w:t>
      </w:r>
      <w:r w:rsidR="006251FE" w:rsidRPr="00B76D90">
        <w:rPr>
          <w:i/>
          <w:iCs/>
          <w:sz w:val="24"/>
        </w:rPr>
        <w:t xml:space="preserve">na podpořené projekty </w:t>
      </w:r>
      <w:r w:rsidRPr="00B76D90">
        <w:rPr>
          <w:i/>
          <w:iCs/>
          <w:sz w:val="24"/>
        </w:rPr>
        <w:t>po</w:t>
      </w:r>
      <w:r w:rsidR="00064DF1" w:rsidRPr="00B76D90">
        <w:rPr>
          <w:i/>
          <w:iCs/>
          <w:sz w:val="24"/>
        </w:rPr>
        <w:t xml:space="preserve">dle </w:t>
      </w:r>
      <w:r w:rsidR="002306A7" w:rsidRPr="00B76D90">
        <w:rPr>
          <w:i/>
          <w:iCs/>
          <w:sz w:val="24"/>
        </w:rPr>
        <w:t>aktivit (mil</w:t>
      </w:r>
      <w:r w:rsidRPr="00B76D90">
        <w:rPr>
          <w:i/>
          <w:iCs/>
          <w:sz w:val="24"/>
        </w:rPr>
        <w:t>. Kč)</w:t>
      </w:r>
      <w:r w:rsidR="00064DF1">
        <w:rPr>
          <w:i/>
          <w:iCs/>
          <w:sz w:val="24"/>
        </w:rPr>
        <w:t xml:space="preserve"> </w:t>
      </w:r>
    </w:p>
    <w:p w:rsidR="00132236" w:rsidRPr="005911AD" w:rsidRDefault="00381BA8" w:rsidP="00A53674">
      <w:pPr>
        <w:spacing w:before="240" w:after="120"/>
        <w:jc w:val="both"/>
        <w:rPr>
          <w:sz w:val="24"/>
        </w:rPr>
      </w:pPr>
      <w:r w:rsidRPr="005911AD">
        <w:rPr>
          <w:sz w:val="24"/>
        </w:rPr>
        <w:t xml:space="preserve">Z </w:t>
      </w:r>
      <w:r w:rsidRPr="005911AD">
        <w:rPr>
          <w:i/>
          <w:sz w:val="24"/>
        </w:rPr>
        <w:t>grafu č. 1</w:t>
      </w:r>
      <w:r w:rsidRPr="005911AD">
        <w:rPr>
          <w:sz w:val="24"/>
        </w:rPr>
        <w:t xml:space="preserve"> je patrné, že </w:t>
      </w:r>
      <w:r w:rsidR="003A31CC" w:rsidRPr="005911AD">
        <w:rPr>
          <w:sz w:val="24"/>
        </w:rPr>
        <w:t>v roce 2013 byly velmi</w:t>
      </w:r>
      <w:r w:rsidRPr="005911AD">
        <w:rPr>
          <w:sz w:val="24"/>
        </w:rPr>
        <w:t xml:space="preserve"> výrazně podporovány neinvestiční aktivity. </w:t>
      </w:r>
      <w:r w:rsidR="00581D57" w:rsidRPr="005911AD">
        <w:rPr>
          <w:sz w:val="24"/>
        </w:rPr>
        <w:t>Nejvíce podpořených žádostí představují oblasti podpory Propagace</w:t>
      </w:r>
      <w:r w:rsidR="00DF00EC" w:rsidRPr="005911AD">
        <w:rPr>
          <w:sz w:val="24"/>
        </w:rPr>
        <w:t>.</w:t>
      </w:r>
      <w:r w:rsidR="00132236" w:rsidRPr="005911AD">
        <w:rPr>
          <w:sz w:val="24"/>
        </w:rPr>
        <w:t xml:space="preserve"> </w:t>
      </w:r>
    </w:p>
    <w:p w:rsidR="0051102A" w:rsidRPr="005911AD" w:rsidRDefault="00442E45" w:rsidP="00A53674">
      <w:pPr>
        <w:spacing w:before="240" w:after="120"/>
        <w:jc w:val="both"/>
        <w:rPr>
          <w:sz w:val="24"/>
        </w:rPr>
      </w:pPr>
      <w:r w:rsidRPr="005911AD">
        <w:rPr>
          <w:sz w:val="24"/>
        </w:rPr>
        <w:t>Oblast p</w:t>
      </w:r>
      <w:r w:rsidR="00581D57" w:rsidRPr="005911AD">
        <w:rPr>
          <w:sz w:val="24"/>
        </w:rPr>
        <w:t xml:space="preserve">ropagace zahrnuje akce, které ke své realizaci potřebují menší množství finančních prostředků, je tedy možné uspokojit více zájemců o dotace. </w:t>
      </w:r>
      <w:r w:rsidR="00132236" w:rsidRPr="005911AD">
        <w:rPr>
          <w:sz w:val="24"/>
        </w:rPr>
        <w:t>V</w:t>
      </w:r>
      <w:r w:rsidR="000D708F" w:rsidRPr="005911AD">
        <w:rPr>
          <w:sz w:val="24"/>
        </w:rPr>
        <w:t xml:space="preserve"> oblasti </w:t>
      </w:r>
      <w:r w:rsidR="00132236" w:rsidRPr="005911AD">
        <w:rPr>
          <w:sz w:val="24"/>
        </w:rPr>
        <w:t xml:space="preserve">propagace </w:t>
      </w:r>
      <w:r w:rsidR="000D708F" w:rsidRPr="005911AD">
        <w:rPr>
          <w:sz w:val="24"/>
        </w:rPr>
        <w:t xml:space="preserve">bylo podpořeno nejvíce projektů </w:t>
      </w:r>
      <w:r w:rsidR="00132236" w:rsidRPr="005911AD">
        <w:rPr>
          <w:sz w:val="24"/>
        </w:rPr>
        <w:t xml:space="preserve">(70) </w:t>
      </w:r>
      <w:r w:rsidR="000D708F" w:rsidRPr="005911AD">
        <w:rPr>
          <w:sz w:val="24"/>
        </w:rPr>
        <w:t xml:space="preserve">a </w:t>
      </w:r>
      <w:r w:rsidR="00DD3768" w:rsidRPr="005911AD">
        <w:rPr>
          <w:sz w:val="24"/>
        </w:rPr>
        <w:t>byla použita</w:t>
      </w:r>
      <w:r w:rsidR="0051102A" w:rsidRPr="005911AD">
        <w:rPr>
          <w:sz w:val="24"/>
        </w:rPr>
        <w:t xml:space="preserve"> </w:t>
      </w:r>
      <w:r w:rsidR="000D708F" w:rsidRPr="005911AD">
        <w:rPr>
          <w:sz w:val="24"/>
        </w:rPr>
        <w:t>velká</w:t>
      </w:r>
      <w:r w:rsidR="0051102A" w:rsidRPr="005911AD">
        <w:rPr>
          <w:sz w:val="24"/>
        </w:rPr>
        <w:t xml:space="preserve"> </w:t>
      </w:r>
      <w:r w:rsidR="00DD3768" w:rsidRPr="005911AD">
        <w:rPr>
          <w:sz w:val="24"/>
        </w:rPr>
        <w:t>část</w:t>
      </w:r>
      <w:r w:rsidR="0051102A" w:rsidRPr="005911AD">
        <w:rPr>
          <w:sz w:val="24"/>
        </w:rPr>
        <w:t xml:space="preserve"> (</w:t>
      </w:r>
      <w:r w:rsidR="00132236" w:rsidRPr="005911AD">
        <w:rPr>
          <w:sz w:val="24"/>
        </w:rPr>
        <w:t>4</w:t>
      </w:r>
      <w:r w:rsidR="000D708F" w:rsidRPr="005911AD">
        <w:rPr>
          <w:sz w:val="24"/>
        </w:rPr>
        <w:t>2</w:t>
      </w:r>
      <w:r w:rsidR="00DD3768" w:rsidRPr="005911AD">
        <w:rPr>
          <w:sz w:val="24"/>
        </w:rPr>
        <w:t xml:space="preserve"> </w:t>
      </w:r>
      <w:r w:rsidR="0051102A" w:rsidRPr="005911AD">
        <w:rPr>
          <w:sz w:val="24"/>
        </w:rPr>
        <w:t>%) financí programu</w:t>
      </w:r>
      <w:r w:rsidR="00132236" w:rsidRPr="005911AD">
        <w:rPr>
          <w:sz w:val="24"/>
        </w:rPr>
        <w:t xml:space="preserve"> </w:t>
      </w:r>
      <w:r w:rsidR="00132236" w:rsidRPr="005911AD">
        <w:rPr>
          <w:i/>
          <w:sz w:val="24"/>
        </w:rPr>
        <w:t xml:space="preserve">(graf </w:t>
      </w:r>
      <w:proofErr w:type="gramStart"/>
      <w:r w:rsidR="00132236" w:rsidRPr="005911AD">
        <w:rPr>
          <w:i/>
          <w:sz w:val="24"/>
        </w:rPr>
        <w:t>č.3)</w:t>
      </w:r>
      <w:r w:rsidR="0051102A" w:rsidRPr="005911AD">
        <w:rPr>
          <w:i/>
          <w:sz w:val="24"/>
        </w:rPr>
        <w:t>.</w:t>
      </w:r>
      <w:proofErr w:type="gramEnd"/>
    </w:p>
    <w:p w:rsidR="00F32B82" w:rsidRPr="005911AD" w:rsidRDefault="00F32B82" w:rsidP="00A53674">
      <w:pPr>
        <w:spacing w:before="240" w:after="120"/>
        <w:jc w:val="both"/>
        <w:rPr>
          <w:sz w:val="24"/>
        </w:rPr>
      </w:pPr>
      <w:r w:rsidRPr="005911AD">
        <w:rPr>
          <w:sz w:val="24"/>
        </w:rPr>
        <w:t xml:space="preserve">Dotace pro </w:t>
      </w:r>
      <w:r w:rsidR="00132236" w:rsidRPr="005911AD">
        <w:rPr>
          <w:sz w:val="24"/>
        </w:rPr>
        <w:t>e</w:t>
      </w:r>
      <w:r w:rsidRPr="005911AD">
        <w:rPr>
          <w:sz w:val="24"/>
        </w:rPr>
        <w:t xml:space="preserve">nergetické poradenství </w:t>
      </w:r>
      <w:r w:rsidR="00F506F3" w:rsidRPr="005911AD">
        <w:rPr>
          <w:sz w:val="24"/>
        </w:rPr>
        <w:t>(</w:t>
      </w:r>
      <w:r w:rsidR="00132236" w:rsidRPr="005911AD">
        <w:rPr>
          <w:sz w:val="24"/>
        </w:rPr>
        <w:t>23</w:t>
      </w:r>
      <w:r w:rsidR="00D60B7B" w:rsidRPr="005911AD">
        <w:rPr>
          <w:sz w:val="24"/>
        </w:rPr>
        <w:t>% financí</w:t>
      </w:r>
      <w:r w:rsidR="00132236" w:rsidRPr="005911AD">
        <w:rPr>
          <w:sz w:val="24"/>
        </w:rPr>
        <w:t xml:space="preserve">; </w:t>
      </w:r>
      <w:r w:rsidR="00132236" w:rsidRPr="005911AD">
        <w:rPr>
          <w:i/>
          <w:sz w:val="24"/>
        </w:rPr>
        <w:t>graf č. 3</w:t>
      </w:r>
      <w:r w:rsidR="00D60B7B" w:rsidRPr="005911AD">
        <w:rPr>
          <w:sz w:val="24"/>
        </w:rPr>
        <w:t xml:space="preserve">) </w:t>
      </w:r>
      <w:r w:rsidR="00132236" w:rsidRPr="005911AD">
        <w:rPr>
          <w:sz w:val="24"/>
        </w:rPr>
        <w:t>představuje</w:t>
      </w:r>
      <w:r w:rsidRPr="005911AD">
        <w:rPr>
          <w:sz w:val="24"/>
        </w:rPr>
        <w:t xml:space="preserve"> </w:t>
      </w:r>
      <w:r w:rsidR="00F506F3" w:rsidRPr="005911AD">
        <w:rPr>
          <w:sz w:val="24"/>
        </w:rPr>
        <w:t>částku poskytnutou</w:t>
      </w:r>
      <w:r w:rsidRPr="005911AD">
        <w:rPr>
          <w:sz w:val="24"/>
        </w:rPr>
        <w:t xml:space="preserve"> poradenským střediskům EKIS podle </w:t>
      </w:r>
      <w:r w:rsidR="00132236" w:rsidRPr="005911AD">
        <w:rPr>
          <w:sz w:val="24"/>
        </w:rPr>
        <w:t xml:space="preserve">skutečného </w:t>
      </w:r>
      <w:r w:rsidRPr="005911AD">
        <w:rPr>
          <w:sz w:val="24"/>
        </w:rPr>
        <w:t xml:space="preserve">počtu bezplatně </w:t>
      </w:r>
      <w:r w:rsidR="00132236" w:rsidRPr="005911AD">
        <w:rPr>
          <w:sz w:val="24"/>
        </w:rPr>
        <w:t>vykonaných</w:t>
      </w:r>
      <w:r w:rsidRPr="005911AD">
        <w:rPr>
          <w:sz w:val="24"/>
        </w:rPr>
        <w:t xml:space="preserve"> konzultací pro</w:t>
      </w:r>
      <w:r w:rsidR="00132236" w:rsidRPr="005911AD">
        <w:rPr>
          <w:sz w:val="24"/>
        </w:rPr>
        <w:t> </w:t>
      </w:r>
      <w:r w:rsidRPr="005911AD">
        <w:rPr>
          <w:sz w:val="24"/>
        </w:rPr>
        <w:t>veřejnost. V roce 201</w:t>
      </w:r>
      <w:r w:rsidR="00D06387" w:rsidRPr="005911AD">
        <w:rPr>
          <w:sz w:val="24"/>
        </w:rPr>
        <w:t>3</w:t>
      </w:r>
      <w:r w:rsidRPr="005911AD">
        <w:rPr>
          <w:sz w:val="24"/>
        </w:rPr>
        <w:t xml:space="preserve"> bylo v síti EKIS </w:t>
      </w:r>
      <w:r w:rsidR="00132236" w:rsidRPr="005911AD">
        <w:rPr>
          <w:sz w:val="24"/>
        </w:rPr>
        <w:t>47</w:t>
      </w:r>
      <w:r w:rsidRPr="005911AD">
        <w:rPr>
          <w:sz w:val="24"/>
        </w:rPr>
        <w:t xml:space="preserve"> středisek po celé republice.</w:t>
      </w:r>
    </w:p>
    <w:p w:rsidR="00132236" w:rsidRPr="005911AD" w:rsidRDefault="000D708F" w:rsidP="00A53674">
      <w:pPr>
        <w:spacing w:before="240" w:after="120"/>
        <w:jc w:val="both"/>
        <w:rPr>
          <w:sz w:val="24"/>
        </w:rPr>
      </w:pPr>
      <w:r w:rsidRPr="005911AD">
        <w:rPr>
          <w:sz w:val="24"/>
        </w:rPr>
        <w:t xml:space="preserve">Energetický management byl podpořen jen </w:t>
      </w:r>
      <w:r w:rsidR="00132236" w:rsidRPr="005911AD">
        <w:rPr>
          <w:sz w:val="24"/>
        </w:rPr>
        <w:t>8</w:t>
      </w:r>
      <w:r w:rsidRPr="005911AD">
        <w:rPr>
          <w:sz w:val="24"/>
        </w:rPr>
        <w:t xml:space="preserve">% </w:t>
      </w:r>
      <w:r w:rsidR="00132236" w:rsidRPr="005911AD">
        <w:rPr>
          <w:i/>
          <w:sz w:val="24"/>
        </w:rPr>
        <w:t xml:space="preserve">(graf </w:t>
      </w:r>
      <w:proofErr w:type="gramStart"/>
      <w:r w:rsidR="00132236" w:rsidRPr="005911AD">
        <w:rPr>
          <w:i/>
          <w:sz w:val="24"/>
        </w:rPr>
        <w:t>č.3)</w:t>
      </w:r>
      <w:r w:rsidR="00132236" w:rsidRPr="005911AD">
        <w:rPr>
          <w:sz w:val="24"/>
        </w:rPr>
        <w:t xml:space="preserve"> </w:t>
      </w:r>
      <w:r w:rsidR="001D12D7">
        <w:rPr>
          <w:sz w:val="24"/>
        </w:rPr>
        <w:t>z rozpočtu</w:t>
      </w:r>
      <w:proofErr w:type="gramEnd"/>
      <w:r w:rsidR="001D12D7">
        <w:rPr>
          <w:sz w:val="24"/>
        </w:rPr>
        <w:t xml:space="preserve"> programu.</w:t>
      </w:r>
      <w:r w:rsidR="001D12D7" w:rsidRPr="001D12D7">
        <w:rPr>
          <w:sz w:val="24"/>
        </w:rPr>
        <w:t xml:space="preserve"> </w:t>
      </w:r>
      <w:r w:rsidR="001D12D7">
        <w:rPr>
          <w:sz w:val="24"/>
        </w:rPr>
        <w:t>Toto nízké procento je vychází z nízkého zájmu žadatelů o tento typ podpory, způsobený malou informovanosti cílové skupiny o přínosu implementace energetického managementu.</w:t>
      </w:r>
      <w:r w:rsidRPr="005911AD">
        <w:rPr>
          <w:sz w:val="24"/>
        </w:rPr>
        <w:t xml:space="preserve"> </w:t>
      </w:r>
      <w:r w:rsidR="001D12D7">
        <w:rPr>
          <w:sz w:val="24"/>
        </w:rPr>
        <w:t>T</w:t>
      </w:r>
      <w:r w:rsidRPr="005911AD">
        <w:rPr>
          <w:sz w:val="24"/>
        </w:rPr>
        <w:t xml:space="preserve">ato oblast podpory </w:t>
      </w:r>
      <w:r w:rsidR="001D12D7">
        <w:rPr>
          <w:sz w:val="24"/>
        </w:rPr>
        <w:t xml:space="preserve">však </w:t>
      </w:r>
      <w:r w:rsidRPr="005911AD">
        <w:rPr>
          <w:sz w:val="24"/>
        </w:rPr>
        <w:t>v</w:t>
      </w:r>
      <w:r w:rsidR="00132236" w:rsidRPr="005911AD">
        <w:rPr>
          <w:sz w:val="24"/>
        </w:rPr>
        <w:t> </w:t>
      </w:r>
      <w:r w:rsidRPr="005911AD">
        <w:rPr>
          <w:sz w:val="24"/>
        </w:rPr>
        <w:t>sobě skrývá velký potenciál následných úspor energie</w:t>
      </w:r>
      <w:r w:rsidR="00132236" w:rsidRPr="005911AD">
        <w:rPr>
          <w:sz w:val="24"/>
        </w:rPr>
        <w:t xml:space="preserve"> pro obce</w:t>
      </w:r>
      <w:r w:rsidRPr="005911AD">
        <w:rPr>
          <w:sz w:val="24"/>
        </w:rPr>
        <w:t>.</w:t>
      </w:r>
      <w:r w:rsidR="007D6518" w:rsidRPr="005911AD">
        <w:rPr>
          <w:sz w:val="24"/>
        </w:rPr>
        <w:t xml:space="preserve"> </w:t>
      </w:r>
    </w:p>
    <w:p w:rsidR="00DD3768" w:rsidRPr="005911AD" w:rsidRDefault="003F3841" w:rsidP="00A53674">
      <w:pPr>
        <w:spacing w:before="240" w:after="120"/>
        <w:jc w:val="both"/>
        <w:rPr>
          <w:sz w:val="24"/>
        </w:rPr>
      </w:pPr>
      <w:r>
        <w:rPr>
          <w:sz w:val="24"/>
        </w:rPr>
        <w:t xml:space="preserve">V oblasti podpory </w:t>
      </w:r>
      <w:r w:rsidR="00DD3768" w:rsidRPr="005911AD">
        <w:rPr>
          <w:sz w:val="24"/>
        </w:rPr>
        <w:t xml:space="preserve">Specifické a pilotní projekty </w:t>
      </w:r>
      <w:r>
        <w:rPr>
          <w:sz w:val="24"/>
        </w:rPr>
        <w:t>nevyhlásilo MPO žádnou výzvu</w:t>
      </w:r>
      <w:r w:rsidR="00132236" w:rsidRPr="005911AD">
        <w:rPr>
          <w:sz w:val="24"/>
        </w:rPr>
        <w:t>.</w:t>
      </w:r>
    </w:p>
    <w:p w:rsidR="00F32B82" w:rsidRPr="005911AD" w:rsidRDefault="00F32B82" w:rsidP="00A53674">
      <w:pPr>
        <w:spacing w:before="240" w:after="120"/>
        <w:jc w:val="both"/>
        <w:rPr>
          <w:sz w:val="24"/>
        </w:rPr>
      </w:pPr>
      <w:r w:rsidRPr="005911AD">
        <w:rPr>
          <w:sz w:val="24"/>
        </w:rPr>
        <w:t xml:space="preserve">Investiční projekty byly podpořeny </w:t>
      </w:r>
      <w:r w:rsidR="00132236" w:rsidRPr="005911AD">
        <w:rPr>
          <w:sz w:val="24"/>
        </w:rPr>
        <w:t>27</w:t>
      </w:r>
      <w:r w:rsidRPr="005911AD">
        <w:rPr>
          <w:sz w:val="24"/>
        </w:rPr>
        <w:t xml:space="preserve"> % z celkového rozpočtu programu</w:t>
      </w:r>
      <w:r w:rsidR="00132236" w:rsidRPr="005911AD">
        <w:rPr>
          <w:i/>
          <w:sz w:val="24"/>
        </w:rPr>
        <w:t xml:space="preserve"> (graf č. 3)</w:t>
      </w:r>
      <w:r w:rsidRPr="005911AD">
        <w:rPr>
          <w:sz w:val="24"/>
        </w:rPr>
        <w:t>. Přiznané dotace přinášejí největší celkové investice (vlastní finanční prostředky příjemců dotace) do</w:t>
      </w:r>
      <w:r w:rsidR="00F506F3" w:rsidRPr="005911AD">
        <w:rPr>
          <w:sz w:val="24"/>
        </w:rPr>
        <w:t> </w:t>
      </w:r>
      <w:r w:rsidRPr="005911AD">
        <w:rPr>
          <w:sz w:val="24"/>
        </w:rPr>
        <w:t>akcí na</w:t>
      </w:r>
      <w:r w:rsidR="00132236" w:rsidRPr="005911AD">
        <w:rPr>
          <w:sz w:val="24"/>
        </w:rPr>
        <w:t> </w:t>
      </w:r>
      <w:r w:rsidRPr="005911AD">
        <w:rPr>
          <w:sz w:val="24"/>
        </w:rPr>
        <w:t>úsporu energie v oblastech Úspora energie a Výroba energie z obnovitelných zdrojů energie</w:t>
      </w:r>
      <w:r w:rsidR="00132236" w:rsidRPr="005911AD">
        <w:rPr>
          <w:sz w:val="24"/>
        </w:rPr>
        <w:t xml:space="preserve"> </w:t>
      </w:r>
      <w:r w:rsidR="00132236" w:rsidRPr="005911AD">
        <w:rPr>
          <w:i/>
          <w:sz w:val="24"/>
        </w:rPr>
        <w:t>(graf č. 2)</w:t>
      </w:r>
      <w:r w:rsidRPr="005911AD">
        <w:rPr>
          <w:i/>
          <w:sz w:val="24"/>
        </w:rPr>
        <w:t>.</w:t>
      </w:r>
      <w:r w:rsidRPr="005911AD">
        <w:rPr>
          <w:sz w:val="24"/>
        </w:rPr>
        <w:t xml:space="preserve"> V roce 201</w:t>
      </w:r>
      <w:r w:rsidR="00D06387" w:rsidRPr="005911AD">
        <w:rPr>
          <w:sz w:val="24"/>
        </w:rPr>
        <w:t>3</w:t>
      </w:r>
      <w:r w:rsidRPr="005911AD">
        <w:rPr>
          <w:sz w:val="24"/>
        </w:rPr>
        <w:t xml:space="preserve"> ž</w:t>
      </w:r>
      <w:r w:rsidR="00132236" w:rsidRPr="005911AD">
        <w:rPr>
          <w:sz w:val="24"/>
        </w:rPr>
        <w:t>á</w:t>
      </w:r>
      <w:r w:rsidRPr="005911AD">
        <w:rPr>
          <w:sz w:val="24"/>
        </w:rPr>
        <w:t>da</w:t>
      </w:r>
      <w:r w:rsidR="00132236" w:rsidRPr="005911AD">
        <w:rPr>
          <w:sz w:val="24"/>
        </w:rPr>
        <w:t>ly</w:t>
      </w:r>
      <w:r w:rsidRPr="005911AD">
        <w:rPr>
          <w:sz w:val="24"/>
        </w:rPr>
        <w:t xml:space="preserve"> o dotaci v těchto aktivitách většinou obce. </w:t>
      </w:r>
    </w:p>
    <w:p w:rsidR="00795731" w:rsidRDefault="00581D57" w:rsidP="007F2183">
      <w:pPr>
        <w:pStyle w:val="Zkladntextodsazen2"/>
        <w:spacing w:before="240" w:after="240"/>
        <w:ind w:firstLine="0"/>
      </w:pPr>
      <w:r w:rsidRPr="005911AD">
        <w:t>Podpořené projekty lze rozdělit na akce s</w:t>
      </w:r>
      <w:r w:rsidR="00514808" w:rsidRPr="005911AD">
        <w:t> </w:t>
      </w:r>
      <w:r w:rsidRPr="005911AD">
        <w:t xml:space="preserve">přímými a nepřímými úsporami energie. Přínosy obou části jsou samostatně vyhodnoceny v následujícím textu. </w:t>
      </w:r>
      <w:r w:rsidR="00514808" w:rsidRPr="005911AD">
        <w:t>Z grafů je patrné, že </w:t>
      </w:r>
      <w:r w:rsidR="00E116C0" w:rsidRPr="005911AD">
        <w:t>73</w:t>
      </w:r>
      <w:r w:rsidR="00514808" w:rsidRPr="005911AD">
        <w:t xml:space="preserve"> % finančních prostředků programu EFEKT 201</w:t>
      </w:r>
      <w:r w:rsidR="00D06387" w:rsidRPr="005911AD">
        <w:t>3</w:t>
      </w:r>
      <w:r w:rsidR="00514808" w:rsidRPr="005911AD">
        <w:t xml:space="preserve"> byl</w:t>
      </w:r>
      <w:r w:rsidR="00E116C0" w:rsidRPr="005911AD">
        <w:t>o</w:t>
      </w:r>
      <w:r w:rsidR="00514808" w:rsidRPr="005911AD">
        <w:t xml:space="preserve"> vložen</w:t>
      </w:r>
      <w:r w:rsidR="00E116C0" w:rsidRPr="005911AD">
        <w:t>o</w:t>
      </w:r>
      <w:r w:rsidR="00514808" w:rsidRPr="005911AD">
        <w:t xml:space="preserve"> do podpory aktivit s nepřímými úsporami energie</w:t>
      </w:r>
      <w:r w:rsidR="00795731" w:rsidRPr="005911AD">
        <w:t>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172"/>
        <w:gridCol w:w="2835"/>
      </w:tblGrid>
      <w:tr w:rsidR="00795731" w:rsidRPr="00232580" w:rsidTr="00CD1507">
        <w:trPr>
          <w:trHeight w:val="45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731" w:rsidRPr="00232580" w:rsidRDefault="00232580" w:rsidP="007F445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="00795731" w:rsidRPr="00232580">
              <w:rPr>
                <w:bCs/>
                <w:color w:val="000000"/>
              </w:rPr>
              <w:t>oložky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232580" w:rsidRDefault="00232580" w:rsidP="00CD150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="00795731" w:rsidRPr="00232580">
              <w:rPr>
                <w:bCs/>
                <w:color w:val="000000"/>
              </w:rPr>
              <w:t xml:space="preserve">říjemci </w:t>
            </w:r>
            <w:r>
              <w:rPr>
                <w:bCs/>
                <w:color w:val="000000"/>
              </w:rPr>
              <w:t xml:space="preserve">dotace </w:t>
            </w:r>
            <w:r w:rsidR="00795731" w:rsidRPr="00232580">
              <w:rPr>
                <w:bCs/>
                <w:color w:val="000000"/>
              </w:rPr>
              <w:t>podle typu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232580" w:rsidRDefault="00795731" w:rsidP="00CD15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232580">
              <w:rPr>
                <w:color w:val="000000"/>
              </w:rPr>
              <w:t>Dotace Kč</w:t>
            </w:r>
          </w:p>
        </w:tc>
      </w:tr>
      <w:tr w:rsidR="00795731" w:rsidRPr="00A53674" w:rsidTr="00CD1507">
        <w:trPr>
          <w:cantSplit/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5212, 6312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FYZICKÉ OSOBY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2 488 303</w:t>
            </w:r>
          </w:p>
        </w:tc>
      </w:tr>
      <w:tr w:rsidR="00795731" w:rsidRPr="00A53674" w:rsidTr="00CD1507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5213, 6313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PRAVNICKÉ OSOBY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6 703 313</w:t>
            </w:r>
          </w:p>
        </w:tc>
      </w:tr>
      <w:tr w:rsidR="00795731" w:rsidRPr="00A53674" w:rsidTr="00CD1507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5221, 6321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O.P.S.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2 242 156</w:t>
            </w:r>
          </w:p>
        </w:tc>
      </w:tr>
      <w:tr w:rsidR="00795731" w:rsidRPr="00A53674" w:rsidTr="00CD1507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5222, 6322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OBČANSKÁ SDRUŽENÍ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3 984 004</w:t>
            </w:r>
          </w:p>
        </w:tc>
      </w:tr>
      <w:tr w:rsidR="00795731" w:rsidRPr="00A53674" w:rsidTr="00CD150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5223, 6323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CÍRKEVNÍ A NÁBOŽ. SPOL.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1 500 000</w:t>
            </w:r>
          </w:p>
        </w:tc>
      </w:tr>
      <w:tr w:rsidR="00795731" w:rsidRPr="00A53674" w:rsidTr="00CD1507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5229, 6329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OSTATNÍ NEZISK. ORG.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1 495 020</w:t>
            </w:r>
          </w:p>
        </w:tc>
      </w:tr>
      <w:tr w:rsidR="00795731" w:rsidRPr="00A53674" w:rsidTr="00CD1507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5321, 6341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OBCE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5 072 126</w:t>
            </w:r>
          </w:p>
        </w:tc>
      </w:tr>
      <w:tr w:rsidR="00795731" w:rsidRPr="00A53674" w:rsidTr="00CD1507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5323, 6342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KRAJE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700 800</w:t>
            </w:r>
          </w:p>
        </w:tc>
      </w:tr>
      <w:tr w:rsidR="00795731" w:rsidRPr="00A53674" w:rsidTr="00CD1507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5332, 6352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VŠ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300 000</w:t>
            </w:r>
          </w:p>
        </w:tc>
      </w:tr>
      <w:tr w:rsidR="00795731" w:rsidRPr="00A53674" w:rsidTr="00CD150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5334, 6354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VEŘ. VÝZKUMNÉ INSTITUCE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150 000</w:t>
            </w:r>
          </w:p>
        </w:tc>
      </w:tr>
      <w:tr w:rsidR="00795731" w:rsidRPr="00A53674" w:rsidTr="00CD1507">
        <w:trPr>
          <w:cantSplit/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53674">
              <w:t>5335, 6359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</w:pPr>
            <w:r w:rsidRPr="00A53674">
              <w:t>OST. PŘÍSPĚVKOVÉ ORG.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</w:rPr>
            </w:pPr>
            <w:r w:rsidRPr="00A53674">
              <w:rPr>
                <w:color w:val="000000"/>
              </w:rPr>
              <w:t>3 157 603</w:t>
            </w:r>
          </w:p>
        </w:tc>
      </w:tr>
      <w:tr w:rsidR="00795731" w:rsidRPr="00A53674" w:rsidTr="00CD1507">
        <w:trPr>
          <w:trHeight w:val="3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7F44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A53674">
              <w:rPr>
                <w:b/>
                <w:color w:val="000000"/>
              </w:rPr>
              <w:t> </w:t>
            </w:r>
            <w:r w:rsidR="00A53674">
              <w:rPr>
                <w:b/>
                <w:color w:val="000000"/>
              </w:rPr>
              <w:t>CELKEM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731" w:rsidRPr="00A53674" w:rsidRDefault="00795731" w:rsidP="00CD150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color w:val="000000"/>
              </w:rPr>
            </w:pPr>
            <w:r w:rsidRPr="00A53674">
              <w:rPr>
                <w:b/>
                <w:color w:val="000000"/>
              </w:rPr>
              <w:t>27 793 325</w:t>
            </w:r>
          </w:p>
        </w:tc>
      </w:tr>
    </w:tbl>
    <w:p w:rsidR="00795731" w:rsidRDefault="00795731" w:rsidP="00795731">
      <w:pPr>
        <w:pStyle w:val="Nadpis5"/>
        <w:rPr>
          <w:color w:val="auto"/>
          <w:szCs w:val="24"/>
        </w:rPr>
      </w:pPr>
      <w:r w:rsidRPr="00A53674">
        <w:rPr>
          <w:color w:val="auto"/>
          <w:szCs w:val="24"/>
        </w:rPr>
        <w:t xml:space="preserve">Tab. </w:t>
      </w:r>
      <w:proofErr w:type="gramStart"/>
      <w:r w:rsidRPr="00A53674">
        <w:rPr>
          <w:color w:val="auto"/>
          <w:szCs w:val="24"/>
        </w:rPr>
        <w:t>č.</w:t>
      </w:r>
      <w:proofErr w:type="gramEnd"/>
      <w:r w:rsidRPr="00A53674">
        <w:rPr>
          <w:color w:val="auto"/>
          <w:szCs w:val="24"/>
        </w:rPr>
        <w:t xml:space="preserve">  3 – Objem dotací podle typu příjemce (Kč)</w:t>
      </w:r>
    </w:p>
    <w:p w:rsidR="0053791A" w:rsidRPr="0053791A" w:rsidRDefault="0053791A" w:rsidP="0053791A"/>
    <w:p w:rsidR="002562E5" w:rsidRPr="002562E5" w:rsidRDefault="002562E5" w:rsidP="002562E5"/>
    <w:p w:rsidR="00795731" w:rsidRPr="000C7474" w:rsidRDefault="00214459" w:rsidP="002562E5">
      <w:pPr>
        <w:pStyle w:val="Zkladntextodsazen2"/>
        <w:spacing w:after="120"/>
        <w:ind w:firstLine="0"/>
      </w:pPr>
      <w:r w:rsidRPr="002562E5">
        <w:t>Program EFEKT 2013 můžeme zh</w:t>
      </w:r>
      <w:r w:rsidR="00795731" w:rsidRPr="002562E5">
        <w:t>odno</w:t>
      </w:r>
      <w:r w:rsidRPr="002562E5">
        <w:t>tit</w:t>
      </w:r>
      <w:r w:rsidR="00795731" w:rsidRPr="002562E5">
        <w:t xml:space="preserve"> také z hlediska </w:t>
      </w:r>
      <w:r w:rsidRPr="002562E5">
        <w:t xml:space="preserve">typu příjemců </w:t>
      </w:r>
      <w:r w:rsidRPr="002562E5">
        <w:rPr>
          <w:i/>
        </w:rPr>
        <w:t>(tabulka č. 3, graf č. 4)</w:t>
      </w:r>
      <w:r w:rsidR="000C7474" w:rsidRPr="002562E5">
        <w:rPr>
          <w:i/>
        </w:rPr>
        <w:t xml:space="preserve">. </w:t>
      </w:r>
      <w:r w:rsidR="000C7474" w:rsidRPr="002562E5">
        <w:t xml:space="preserve">Je zřejmé, že </w:t>
      </w:r>
      <w:r w:rsidR="008D37B0" w:rsidRPr="002562E5">
        <w:t xml:space="preserve">největší část dotací, </w:t>
      </w:r>
      <w:r w:rsidR="000C7474" w:rsidRPr="002562E5">
        <w:t>téměř čtvrtinu (24%)</w:t>
      </w:r>
      <w:r w:rsidR="008D37B0" w:rsidRPr="002562E5">
        <w:t>,</w:t>
      </w:r>
      <w:r w:rsidR="000C7474" w:rsidRPr="002562E5">
        <w:t xml:space="preserve"> dostávají společnosti s r.o. a</w:t>
      </w:r>
      <w:r w:rsidR="000D65CF" w:rsidRPr="002562E5">
        <w:t> </w:t>
      </w:r>
      <w:r w:rsidR="000C7474" w:rsidRPr="002562E5">
        <w:t>akciové společnosti, které jsou vedeny pod položkou právnické osoby. Dále jsou to obce (</w:t>
      </w:r>
      <w:r w:rsidR="008D37B0" w:rsidRPr="002562E5">
        <w:t>18%) a občanská sdružení včetně obecně prospěšných společností (14%).</w:t>
      </w:r>
    </w:p>
    <w:p w:rsidR="00214459" w:rsidRPr="00AB1C64" w:rsidRDefault="00214459" w:rsidP="007D6518">
      <w:pPr>
        <w:pStyle w:val="Zkladntextodsazen2"/>
        <w:spacing w:before="240"/>
        <w:ind w:firstLine="0"/>
        <w:rPr>
          <w:i/>
          <w:u w:val="single"/>
        </w:rPr>
      </w:pPr>
      <w:r w:rsidRPr="00AB1C64">
        <w:rPr>
          <w:noProof/>
          <w:u w:val="single"/>
        </w:rPr>
        <w:drawing>
          <wp:inline distT="0" distB="0" distL="0" distR="0" wp14:anchorId="44058DD3" wp14:editId="241EAA4D">
            <wp:extent cx="5760085" cy="3471061"/>
            <wp:effectExtent l="0" t="0" r="12065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6108" w:rsidRDefault="00396108" w:rsidP="00396108">
      <w:pPr>
        <w:rPr>
          <w:i/>
          <w:iCs/>
          <w:sz w:val="22"/>
        </w:rPr>
      </w:pPr>
      <w:r w:rsidRPr="00AB1C64">
        <w:rPr>
          <w:i/>
          <w:iCs/>
          <w:sz w:val="24"/>
        </w:rPr>
        <w:t xml:space="preserve">Graf č. </w:t>
      </w:r>
      <w:r w:rsidR="00795731" w:rsidRPr="00AB1C64">
        <w:rPr>
          <w:i/>
          <w:iCs/>
          <w:sz w:val="24"/>
        </w:rPr>
        <w:t>4</w:t>
      </w:r>
      <w:r w:rsidRPr="00AB1C64">
        <w:rPr>
          <w:i/>
          <w:iCs/>
          <w:sz w:val="24"/>
        </w:rPr>
        <w:t xml:space="preserve"> – Dotace podle typu </w:t>
      </w:r>
      <w:proofErr w:type="gramStart"/>
      <w:r w:rsidRPr="00AB1C64">
        <w:rPr>
          <w:i/>
          <w:iCs/>
          <w:sz w:val="24"/>
        </w:rPr>
        <w:t xml:space="preserve">příjemce  v </w:t>
      </w:r>
      <w:r w:rsidR="0045109D">
        <w:rPr>
          <w:i/>
          <w:iCs/>
          <w:sz w:val="24"/>
        </w:rPr>
        <w:t xml:space="preserve"> </w:t>
      </w:r>
      <w:r w:rsidRPr="00AB1C64">
        <w:rPr>
          <w:i/>
          <w:iCs/>
          <w:sz w:val="24"/>
        </w:rPr>
        <w:t>% z  rozpočtu</w:t>
      </w:r>
      <w:proofErr w:type="gramEnd"/>
    </w:p>
    <w:p w:rsidR="00B01814" w:rsidRDefault="00B01814" w:rsidP="00823161">
      <w:pPr>
        <w:spacing w:after="120"/>
        <w:jc w:val="both"/>
        <w:rPr>
          <w:sz w:val="24"/>
        </w:rPr>
      </w:pPr>
    </w:p>
    <w:p w:rsidR="00823161" w:rsidRDefault="00823161" w:rsidP="00823161">
      <w:pPr>
        <w:spacing w:after="120"/>
        <w:jc w:val="both"/>
        <w:rPr>
          <w:b/>
          <w:bCs/>
          <w:color w:val="FF0000"/>
          <w:sz w:val="28"/>
        </w:rPr>
      </w:pPr>
    </w:p>
    <w:p w:rsidR="00581D57" w:rsidRPr="005E0B09" w:rsidRDefault="00F436CB" w:rsidP="005E0B09">
      <w:pPr>
        <w:pStyle w:val="Nadpis7"/>
        <w:numPr>
          <w:ilvl w:val="0"/>
          <w:numId w:val="35"/>
        </w:numPr>
        <w:rPr>
          <w:sz w:val="32"/>
          <w:szCs w:val="32"/>
        </w:rPr>
      </w:pPr>
      <w:r w:rsidRPr="005E0B09">
        <w:rPr>
          <w:sz w:val="32"/>
          <w:szCs w:val="32"/>
        </w:rPr>
        <w:t xml:space="preserve">VYHODNOCENÍ </w:t>
      </w:r>
      <w:r w:rsidR="00E56BA4" w:rsidRPr="005E0B09">
        <w:rPr>
          <w:sz w:val="32"/>
          <w:szCs w:val="32"/>
        </w:rPr>
        <w:t>PŘÍN</w:t>
      </w:r>
      <w:r w:rsidR="00E04454" w:rsidRPr="005E0B09">
        <w:rPr>
          <w:sz w:val="32"/>
          <w:szCs w:val="32"/>
        </w:rPr>
        <w:t xml:space="preserve">OSŮ FINANČNÍCH </w:t>
      </w:r>
      <w:r w:rsidR="00E56BA4" w:rsidRPr="005E0B09">
        <w:rPr>
          <w:sz w:val="32"/>
          <w:szCs w:val="32"/>
        </w:rPr>
        <w:t>PROSTŘEDKŮ</w:t>
      </w:r>
    </w:p>
    <w:p w:rsidR="00E56BA4" w:rsidRPr="00E029DA" w:rsidRDefault="00E56BA4" w:rsidP="00E56BA4">
      <w:pPr>
        <w:ind w:left="360"/>
        <w:rPr>
          <w:i/>
        </w:rPr>
      </w:pPr>
    </w:p>
    <w:p w:rsidR="00E56BA4" w:rsidRPr="00D302BE" w:rsidRDefault="00D302BE" w:rsidP="00D302BE">
      <w:pPr>
        <w:pStyle w:val="Nadpis3"/>
        <w:ind w:left="360"/>
      </w:pPr>
      <w:bookmarkStart w:id="4" w:name="_Toc388021630"/>
      <w:bookmarkStart w:id="5" w:name="_Toc388021755"/>
      <w:proofErr w:type="gramStart"/>
      <w:r w:rsidRPr="00D302BE">
        <w:t>2.1</w:t>
      </w:r>
      <w:proofErr w:type="gramEnd"/>
      <w:r w:rsidRPr="00D302BE">
        <w:t xml:space="preserve">.  </w:t>
      </w:r>
      <w:r w:rsidR="00E56BA4" w:rsidRPr="00D302BE">
        <w:t>VYHODNOCENÍ INVESTIČNÍCH AKCÍ</w:t>
      </w:r>
      <w:bookmarkEnd w:id="4"/>
      <w:bookmarkEnd w:id="5"/>
      <w:r w:rsidR="00E56BA4" w:rsidRPr="00D302BE">
        <w:t xml:space="preserve"> </w:t>
      </w:r>
    </w:p>
    <w:p w:rsidR="00EB6742" w:rsidRPr="00823161" w:rsidRDefault="00581D57" w:rsidP="00823161">
      <w:pPr>
        <w:spacing w:after="120"/>
        <w:jc w:val="both"/>
        <w:rPr>
          <w:b/>
          <w:bCs/>
          <w:sz w:val="24"/>
        </w:rPr>
      </w:pPr>
      <w:r w:rsidRPr="00823161">
        <w:rPr>
          <w:b/>
          <w:bCs/>
          <w:sz w:val="24"/>
        </w:rPr>
        <w:t xml:space="preserve">Dotace ve výši </w:t>
      </w:r>
      <w:r w:rsidR="007D6518" w:rsidRPr="00823161">
        <w:rPr>
          <w:b/>
          <w:bCs/>
          <w:sz w:val="24"/>
        </w:rPr>
        <w:t>7,4</w:t>
      </w:r>
      <w:r w:rsidR="008F57A0" w:rsidRPr="00823161">
        <w:rPr>
          <w:b/>
          <w:bCs/>
          <w:sz w:val="24"/>
        </w:rPr>
        <w:t xml:space="preserve"> milionů</w:t>
      </w:r>
      <w:r w:rsidRPr="00823161">
        <w:rPr>
          <w:b/>
          <w:bCs/>
          <w:sz w:val="24"/>
        </w:rPr>
        <w:t xml:space="preserve"> Kč byla poskytnuta na </w:t>
      </w:r>
      <w:r w:rsidR="007D6518" w:rsidRPr="00823161">
        <w:rPr>
          <w:b/>
          <w:bCs/>
          <w:sz w:val="24"/>
        </w:rPr>
        <w:t>11</w:t>
      </w:r>
      <w:r w:rsidRPr="00823161">
        <w:rPr>
          <w:b/>
          <w:bCs/>
          <w:sz w:val="24"/>
        </w:rPr>
        <w:t xml:space="preserve"> </w:t>
      </w:r>
      <w:r w:rsidR="00565061" w:rsidRPr="00823161">
        <w:rPr>
          <w:b/>
          <w:bCs/>
          <w:sz w:val="24"/>
        </w:rPr>
        <w:t xml:space="preserve">investičních </w:t>
      </w:r>
      <w:r w:rsidRPr="00823161">
        <w:rPr>
          <w:b/>
          <w:bCs/>
          <w:sz w:val="24"/>
        </w:rPr>
        <w:t>akcí s celkov</w:t>
      </w:r>
      <w:r w:rsidR="008F57A0" w:rsidRPr="00823161">
        <w:rPr>
          <w:b/>
          <w:bCs/>
          <w:sz w:val="24"/>
        </w:rPr>
        <w:t xml:space="preserve">ými investičními náklady </w:t>
      </w:r>
      <w:r w:rsidR="001A7254" w:rsidRPr="00823161">
        <w:rPr>
          <w:b/>
          <w:bCs/>
          <w:sz w:val="24"/>
        </w:rPr>
        <w:t>přes 21,5</w:t>
      </w:r>
      <w:r w:rsidRPr="00823161">
        <w:rPr>
          <w:b/>
          <w:bCs/>
          <w:sz w:val="24"/>
        </w:rPr>
        <w:t xml:space="preserve"> </w:t>
      </w:r>
      <w:r w:rsidR="00363A86" w:rsidRPr="00823161">
        <w:rPr>
          <w:b/>
          <w:bCs/>
          <w:sz w:val="24"/>
        </w:rPr>
        <w:t>mil</w:t>
      </w:r>
      <w:r w:rsidRPr="00823161">
        <w:rPr>
          <w:b/>
          <w:bCs/>
          <w:sz w:val="24"/>
        </w:rPr>
        <w:t xml:space="preserve">. Kč.  </w:t>
      </w:r>
    </w:p>
    <w:p w:rsidR="001A7254" w:rsidRDefault="00581D57" w:rsidP="00823161">
      <w:pPr>
        <w:spacing w:after="120"/>
        <w:jc w:val="both"/>
        <w:rPr>
          <w:bCs/>
          <w:i/>
          <w:iCs/>
          <w:sz w:val="24"/>
        </w:rPr>
      </w:pPr>
      <w:r w:rsidRPr="00823161">
        <w:rPr>
          <w:bCs/>
          <w:sz w:val="24"/>
        </w:rPr>
        <w:t>Přímé úspory energie lze vyčíslit roční úsporou v GJ</w:t>
      </w:r>
      <w:r w:rsidR="001A7254" w:rsidRPr="00823161">
        <w:rPr>
          <w:bCs/>
          <w:sz w:val="24"/>
        </w:rPr>
        <w:t>, která je podložena údaji</w:t>
      </w:r>
      <w:r w:rsidRPr="00823161">
        <w:rPr>
          <w:bCs/>
          <w:sz w:val="24"/>
        </w:rPr>
        <w:t xml:space="preserve"> z dokumentace k podaným žádostem</w:t>
      </w:r>
      <w:r w:rsidR="00565061" w:rsidRPr="00823161">
        <w:rPr>
          <w:bCs/>
          <w:sz w:val="24"/>
        </w:rPr>
        <w:t xml:space="preserve">, především z energetických auditů. </w:t>
      </w:r>
      <w:r w:rsidR="00F435A4" w:rsidRPr="00823161">
        <w:rPr>
          <w:bCs/>
          <w:sz w:val="24"/>
        </w:rPr>
        <w:t xml:space="preserve">Předpokládané </w:t>
      </w:r>
      <w:r w:rsidR="00444C0A" w:rsidRPr="00823161">
        <w:rPr>
          <w:bCs/>
          <w:sz w:val="24"/>
        </w:rPr>
        <w:t xml:space="preserve">roční </w:t>
      </w:r>
      <w:r w:rsidR="00F435A4" w:rsidRPr="00823161">
        <w:rPr>
          <w:bCs/>
          <w:sz w:val="24"/>
        </w:rPr>
        <w:t xml:space="preserve">úspory energie a </w:t>
      </w:r>
      <w:r w:rsidR="00444C0A" w:rsidRPr="00823161">
        <w:rPr>
          <w:bCs/>
          <w:sz w:val="24"/>
        </w:rPr>
        <w:t xml:space="preserve">roční úspory </w:t>
      </w:r>
      <w:r w:rsidR="00F435A4" w:rsidRPr="00823161">
        <w:rPr>
          <w:bCs/>
          <w:sz w:val="24"/>
        </w:rPr>
        <w:t>tun CO</w:t>
      </w:r>
      <w:r w:rsidR="00F435A4" w:rsidRPr="00823161">
        <w:rPr>
          <w:bCs/>
          <w:sz w:val="24"/>
          <w:vertAlign w:val="subscript"/>
        </w:rPr>
        <w:t>2</w:t>
      </w:r>
      <w:r w:rsidR="00F435A4" w:rsidRPr="00823161">
        <w:rPr>
          <w:bCs/>
          <w:sz w:val="24"/>
        </w:rPr>
        <w:t xml:space="preserve"> jsou uvedeny </w:t>
      </w:r>
      <w:r w:rsidR="00F435A4" w:rsidRPr="00823161">
        <w:rPr>
          <w:bCs/>
          <w:i/>
          <w:iCs/>
          <w:sz w:val="24"/>
        </w:rPr>
        <w:t xml:space="preserve">v tabulce č. </w:t>
      </w:r>
      <w:r w:rsidR="00823161" w:rsidRPr="00823161">
        <w:rPr>
          <w:bCs/>
          <w:i/>
          <w:iCs/>
          <w:sz w:val="24"/>
        </w:rPr>
        <w:t>4</w:t>
      </w:r>
      <w:r w:rsidR="00F435A4" w:rsidRPr="00823161">
        <w:rPr>
          <w:bCs/>
          <w:i/>
          <w:iCs/>
          <w:sz w:val="24"/>
        </w:rPr>
        <w:t>.</w:t>
      </w:r>
    </w:p>
    <w:p w:rsidR="00F435A4" w:rsidRPr="001A7254" w:rsidRDefault="00F435A4" w:rsidP="00565061">
      <w:pPr>
        <w:spacing w:before="240"/>
        <w:jc w:val="both"/>
        <w:rPr>
          <w:bCs/>
          <w:sz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626"/>
        <w:gridCol w:w="1559"/>
        <w:gridCol w:w="1701"/>
        <w:gridCol w:w="1701"/>
      </w:tblGrid>
      <w:tr w:rsidR="007D6518" w:rsidRPr="00823161" w:rsidTr="00075382">
        <w:trPr>
          <w:trHeight w:val="768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7D6518" w:rsidRDefault="007D6518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3161">
              <w:rPr>
                <w:b/>
                <w:bCs/>
                <w:color w:val="000000"/>
                <w:sz w:val="22"/>
              </w:rPr>
              <w:t>Úspora energie (GJ/rok)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3161">
              <w:rPr>
                <w:b/>
                <w:bCs/>
                <w:color w:val="000000"/>
                <w:sz w:val="22"/>
              </w:rPr>
              <w:t>Úspora CO</w:t>
            </w:r>
            <w:r w:rsidRPr="00823161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823161">
              <w:rPr>
                <w:b/>
                <w:bCs/>
                <w:color w:val="000000"/>
                <w:sz w:val="22"/>
                <w:szCs w:val="22"/>
                <w:vertAlign w:val="subscript"/>
              </w:rPr>
              <w:br/>
            </w:r>
            <w:r w:rsidR="00075382" w:rsidRPr="00823161">
              <w:rPr>
                <w:b/>
                <w:bCs/>
                <w:color w:val="000000"/>
                <w:sz w:val="22"/>
                <w:szCs w:val="22"/>
              </w:rPr>
              <w:t>t/rok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075382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3161">
              <w:rPr>
                <w:b/>
                <w:bCs/>
                <w:color w:val="000000"/>
                <w:sz w:val="22"/>
              </w:rPr>
              <w:t xml:space="preserve">Přiznaná dotace </w:t>
            </w:r>
            <w:r w:rsidR="007D6518" w:rsidRPr="00823161">
              <w:rPr>
                <w:b/>
                <w:bCs/>
                <w:color w:val="000000"/>
                <w:sz w:val="22"/>
              </w:rPr>
              <w:t>Kč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3161">
              <w:rPr>
                <w:b/>
                <w:bCs/>
                <w:color w:val="000000"/>
                <w:sz w:val="22"/>
                <w:szCs w:val="22"/>
              </w:rPr>
              <w:t xml:space="preserve">Počet </w:t>
            </w:r>
            <w:r w:rsidRPr="00823161">
              <w:rPr>
                <w:b/>
                <w:bCs/>
                <w:color w:val="000000"/>
                <w:sz w:val="22"/>
                <w:szCs w:val="22"/>
              </w:rPr>
              <w:br/>
              <w:t>podpořených projektů</w:t>
            </w:r>
          </w:p>
        </w:tc>
      </w:tr>
      <w:tr w:rsidR="007D6518" w:rsidRPr="00823161" w:rsidTr="00075382">
        <w:trPr>
          <w:trHeight w:val="300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B1- osvětlení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3 251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1 109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3 597 650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7</w:t>
            </w:r>
          </w:p>
        </w:tc>
      </w:tr>
      <w:tr w:rsidR="007D6518" w:rsidRPr="00823161" w:rsidTr="00075382">
        <w:trPr>
          <w:trHeight w:val="300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B2- úspory v průmyslu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D6518" w:rsidRPr="00823161" w:rsidTr="00075382">
        <w:trPr>
          <w:trHeight w:val="300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B3- otopná soustava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3 364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3 833 200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4</w:t>
            </w:r>
          </w:p>
        </w:tc>
      </w:tr>
      <w:tr w:rsidR="007D6518" w:rsidRPr="00823161" w:rsidTr="00075382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B4 - odpadní energie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82316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D6518" w:rsidRPr="00823161" w:rsidTr="00075382">
        <w:trPr>
          <w:trHeight w:val="315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3161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F76EE" w:rsidRPr="00823161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3161">
              <w:rPr>
                <w:b/>
                <w:bCs/>
                <w:color w:val="000000"/>
                <w:sz w:val="22"/>
                <w:szCs w:val="22"/>
              </w:rPr>
              <w:t>6 615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18" w:rsidRPr="00823161" w:rsidRDefault="007D6518" w:rsidP="007D651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3161">
              <w:rPr>
                <w:b/>
                <w:bCs/>
                <w:color w:val="000000"/>
                <w:sz w:val="22"/>
                <w:szCs w:val="22"/>
              </w:rPr>
              <w:t>1 345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3161">
              <w:rPr>
                <w:b/>
                <w:bCs/>
                <w:color w:val="000000"/>
                <w:sz w:val="22"/>
                <w:szCs w:val="22"/>
              </w:rPr>
              <w:t>7 430 850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D6518" w:rsidRPr="00823161" w:rsidRDefault="007D6518" w:rsidP="008231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2316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</w:tbl>
    <w:p w:rsidR="00581D57" w:rsidRDefault="00F435A4">
      <w:pPr>
        <w:pStyle w:val="Titulek"/>
      </w:pPr>
      <w:r w:rsidRPr="00823161">
        <w:t>Ta</w:t>
      </w:r>
      <w:r w:rsidR="00581D57" w:rsidRPr="00823161">
        <w:t xml:space="preserve">b. </w:t>
      </w:r>
      <w:proofErr w:type="gramStart"/>
      <w:r w:rsidR="00581D57" w:rsidRPr="00823161">
        <w:t>č.</w:t>
      </w:r>
      <w:proofErr w:type="gramEnd"/>
      <w:r w:rsidR="00581D57" w:rsidRPr="00823161">
        <w:t xml:space="preserve"> </w:t>
      </w:r>
      <w:r w:rsidR="00795731" w:rsidRPr="00823161">
        <w:t>4</w:t>
      </w:r>
      <w:r w:rsidR="00581D57" w:rsidRPr="00823161">
        <w:t xml:space="preserve"> - Vyhodnocení projektů s přímými úsporami energie</w:t>
      </w:r>
    </w:p>
    <w:p w:rsidR="00075382" w:rsidRDefault="00075382" w:rsidP="00075382"/>
    <w:p w:rsidR="00075382" w:rsidRDefault="00075382" w:rsidP="00075382"/>
    <w:p w:rsidR="00075382" w:rsidRPr="00063BB9" w:rsidRDefault="00823161" w:rsidP="00823161">
      <w:pPr>
        <w:spacing w:after="120"/>
        <w:jc w:val="both"/>
        <w:rPr>
          <w:sz w:val="24"/>
          <w:szCs w:val="24"/>
        </w:rPr>
      </w:pPr>
      <w:r w:rsidRPr="00823161">
        <w:rPr>
          <w:sz w:val="24"/>
          <w:szCs w:val="24"/>
        </w:rPr>
        <w:t>V dalším textu</w:t>
      </w:r>
      <w:r w:rsidR="007F7DA1" w:rsidRPr="00823161">
        <w:rPr>
          <w:sz w:val="24"/>
          <w:szCs w:val="24"/>
        </w:rPr>
        <w:t xml:space="preserve"> je </w:t>
      </w:r>
      <w:r w:rsidRPr="00823161">
        <w:rPr>
          <w:sz w:val="24"/>
          <w:szCs w:val="24"/>
        </w:rPr>
        <w:t xml:space="preserve">uvedeno </w:t>
      </w:r>
      <w:r w:rsidR="007F7DA1" w:rsidRPr="00823161">
        <w:rPr>
          <w:sz w:val="24"/>
          <w:szCs w:val="24"/>
        </w:rPr>
        <w:t>zdůvodněn</w:t>
      </w:r>
      <w:r w:rsidRPr="00823161">
        <w:rPr>
          <w:sz w:val="24"/>
          <w:szCs w:val="24"/>
        </w:rPr>
        <w:t>í</w:t>
      </w:r>
      <w:r w:rsidR="007F7DA1" w:rsidRPr="00823161">
        <w:rPr>
          <w:sz w:val="24"/>
          <w:szCs w:val="24"/>
        </w:rPr>
        <w:t xml:space="preserve">, proč nebyl vyčerpán celý rozpočet, který </w:t>
      </w:r>
      <w:r w:rsidR="00063BB9" w:rsidRPr="00823161">
        <w:rPr>
          <w:sz w:val="24"/>
          <w:szCs w:val="24"/>
        </w:rPr>
        <w:t>byl pro</w:t>
      </w:r>
      <w:r w:rsidRPr="00823161">
        <w:rPr>
          <w:sz w:val="24"/>
          <w:szCs w:val="24"/>
        </w:rPr>
        <w:t> </w:t>
      </w:r>
      <w:r w:rsidR="00063BB9" w:rsidRPr="00823161">
        <w:rPr>
          <w:sz w:val="24"/>
          <w:szCs w:val="24"/>
        </w:rPr>
        <w:t>investiční akce k dispozici. Nevyčerpaná částka činí 4,37 mil. Kč. Do budoucna se</w:t>
      </w:r>
      <w:r w:rsidRPr="00823161">
        <w:rPr>
          <w:sz w:val="24"/>
          <w:szCs w:val="24"/>
        </w:rPr>
        <w:t> </w:t>
      </w:r>
      <w:r w:rsidR="00063BB9" w:rsidRPr="00823161">
        <w:rPr>
          <w:sz w:val="24"/>
          <w:szCs w:val="24"/>
        </w:rPr>
        <w:t>chceme zaměřit na zdokonalení systému výběru projektů k podpoře</w:t>
      </w:r>
      <w:r w:rsidRPr="00823161">
        <w:rPr>
          <w:sz w:val="24"/>
          <w:szCs w:val="24"/>
        </w:rPr>
        <w:t xml:space="preserve"> tak</w:t>
      </w:r>
      <w:r w:rsidR="00063BB9" w:rsidRPr="00823161">
        <w:rPr>
          <w:sz w:val="24"/>
          <w:szCs w:val="24"/>
        </w:rPr>
        <w:t xml:space="preserve">, abychom </w:t>
      </w:r>
      <w:r w:rsidRPr="00823161">
        <w:rPr>
          <w:sz w:val="24"/>
          <w:szCs w:val="24"/>
        </w:rPr>
        <w:t>zvýšili šanci na</w:t>
      </w:r>
      <w:r w:rsidR="00063BB9" w:rsidRPr="00823161">
        <w:rPr>
          <w:sz w:val="24"/>
          <w:szCs w:val="24"/>
        </w:rPr>
        <w:t xml:space="preserve"> čerpání dotací v plné přidělené výši.</w:t>
      </w:r>
    </w:p>
    <w:p w:rsidR="00075382" w:rsidRPr="00075382" w:rsidRDefault="00075382" w:rsidP="00075382">
      <w:r>
        <w:rPr>
          <w:noProof/>
        </w:rPr>
        <w:drawing>
          <wp:inline distT="0" distB="0" distL="0" distR="0" wp14:anchorId="47780CDC" wp14:editId="6392394C">
            <wp:extent cx="5724525" cy="2819400"/>
            <wp:effectExtent l="0" t="0" r="9525" b="1905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751B" w:rsidRDefault="00581D57">
      <w:pPr>
        <w:jc w:val="both"/>
        <w:rPr>
          <w:i/>
          <w:iCs/>
          <w:sz w:val="24"/>
        </w:rPr>
      </w:pPr>
      <w:r w:rsidRPr="007F4457">
        <w:rPr>
          <w:i/>
          <w:iCs/>
          <w:sz w:val="24"/>
        </w:rPr>
        <w:t xml:space="preserve">Graf č. </w:t>
      </w:r>
      <w:r w:rsidR="00795731" w:rsidRPr="007F4457">
        <w:rPr>
          <w:i/>
          <w:iCs/>
          <w:sz w:val="24"/>
        </w:rPr>
        <w:t>5</w:t>
      </w:r>
      <w:r w:rsidRPr="007F4457">
        <w:rPr>
          <w:i/>
          <w:iCs/>
          <w:sz w:val="24"/>
        </w:rPr>
        <w:t xml:space="preserve"> – </w:t>
      </w:r>
      <w:r w:rsidR="00246D0B" w:rsidRPr="007F4457">
        <w:rPr>
          <w:i/>
          <w:iCs/>
          <w:sz w:val="24"/>
        </w:rPr>
        <w:t>Roční úspora energie a tun CO</w:t>
      </w:r>
      <w:r w:rsidR="00246D0B" w:rsidRPr="007F4457">
        <w:rPr>
          <w:i/>
          <w:iCs/>
          <w:sz w:val="24"/>
          <w:vertAlign w:val="subscript"/>
        </w:rPr>
        <w:t>2</w:t>
      </w:r>
      <w:r w:rsidR="00246D0B" w:rsidRPr="007F4457">
        <w:rPr>
          <w:i/>
          <w:iCs/>
          <w:sz w:val="24"/>
        </w:rPr>
        <w:t xml:space="preserve"> </w:t>
      </w:r>
      <w:r w:rsidRPr="007F4457">
        <w:rPr>
          <w:i/>
          <w:iCs/>
          <w:sz w:val="24"/>
        </w:rPr>
        <w:t>projekt</w:t>
      </w:r>
      <w:r w:rsidR="00246D0B" w:rsidRPr="007F4457">
        <w:rPr>
          <w:i/>
          <w:iCs/>
          <w:sz w:val="24"/>
        </w:rPr>
        <w:t>ů</w:t>
      </w:r>
      <w:r w:rsidRPr="007F4457">
        <w:rPr>
          <w:i/>
          <w:iCs/>
          <w:sz w:val="24"/>
        </w:rPr>
        <w:t xml:space="preserve"> s přímými úsporami energie</w:t>
      </w:r>
    </w:p>
    <w:p w:rsidR="00084342" w:rsidRDefault="00084342">
      <w:pPr>
        <w:jc w:val="both"/>
        <w:rPr>
          <w:i/>
          <w:iCs/>
          <w:sz w:val="24"/>
        </w:rPr>
      </w:pPr>
    </w:p>
    <w:p w:rsidR="00C01FEB" w:rsidRDefault="00C01FEB">
      <w:pPr>
        <w:jc w:val="both"/>
        <w:rPr>
          <w:i/>
          <w:iCs/>
          <w:sz w:val="24"/>
        </w:rPr>
      </w:pPr>
      <w:r>
        <w:rPr>
          <w:noProof/>
        </w:rPr>
        <w:drawing>
          <wp:inline distT="0" distB="0" distL="0" distR="0" wp14:anchorId="7BAD0F98" wp14:editId="393C2524">
            <wp:extent cx="5724525" cy="2847975"/>
            <wp:effectExtent l="0" t="0" r="9525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54BB" w:rsidRDefault="002306A7">
      <w:pPr>
        <w:jc w:val="both"/>
        <w:rPr>
          <w:bCs/>
          <w:i/>
          <w:iCs/>
          <w:sz w:val="24"/>
        </w:rPr>
      </w:pPr>
      <w:r w:rsidRPr="007F4457">
        <w:rPr>
          <w:bCs/>
          <w:i/>
          <w:iCs/>
          <w:sz w:val="24"/>
        </w:rPr>
        <w:t xml:space="preserve">Graf č. </w:t>
      </w:r>
      <w:r w:rsidR="00795731" w:rsidRPr="007F4457">
        <w:rPr>
          <w:bCs/>
          <w:i/>
          <w:iCs/>
          <w:sz w:val="24"/>
        </w:rPr>
        <w:t>6</w:t>
      </w:r>
      <w:r w:rsidRPr="007F4457">
        <w:rPr>
          <w:bCs/>
          <w:i/>
          <w:iCs/>
          <w:sz w:val="24"/>
        </w:rPr>
        <w:t xml:space="preserve"> – Dotace a celkové investice u investičních projektů (mil. Kč)</w:t>
      </w:r>
    </w:p>
    <w:p w:rsidR="005564E8" w:rsidRDefault="005564E8">
      <w:pPr>
        <w:jc w:val="both"/>
        <w:rPr>
          <w:bCs/>
          <w:i/>
          <w:iCs/>
          <w:sz w:val="24"/>
        </w:rPr>
      </w:pPr>
    </w:p>
    <w:p w:rsidR="005564E8" w:rsidRPr="002306A7" w:rsidRDefault="005564E8">
      <w:pPr>
        <w:jc w:val="both"/>
        <w:rPr>
          <w:bCs/>
          <w:i/>
          <w:iCs/>
          <w:sz w:val="24"/>
        </w:rPr>
      </w:pPr>
      <w:r>
        <w:rPr>
          <w:noProof/>
        </w:rPr>
        <w:drawing>
          <wp:inline distT="0" distB="0" distL="0" distR="0" wp14:anchorId="5369B7B5" wp14:editId="19B98E99">
            <wp:extent cx="5762625" cy="2495550"/>
            <wp:effectExtent l="0" t="0" r="9525" b="1905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16AA" w:rsidRPr="009742B6" w:rsidRDefault="009716AA" w:rsidP="009716AA">
      <w:pPr>
        <w:rPr>
          <w:i/>
          <w:iCs/>
          <w:sz w:val="24"/>
        </w:rPr>
      </w:pPr>
      <w:r w:rsidRPr="007F4457">
        <w:rPr>
          <w:i/>
          <w:iCs/>
          <w:sz w:val="24"/>
        </w:rPr>
        <w:t xml:space="preserve">Graf č. </w:t>
      </w:r>
      <w:r w:rsidR="00795731" w:rsidRPr="007F4457">
        <w:rPr>
          <w:i/>
          <w:iCs/>
          <w:sz w:val="24"/>
        </w:rPr>
        <w:t>7</w:t>
      </w:r>
      <w:r w:rsidRPr="007F4457">
        <w:rPr>
          <w:i/>
          <w:iCs/>
          <w:sz w:val="24"/>
        </w:rPr>
        <w:t xml:space="preserve"> – </w:t>
      </w:r>
      <w:r w:rsidR="00614242" w:rsidRPr="007F4457">
        <w:rPr>
          <w:i/>
          <w:iCs/>
          <w:sz w:val="24"/>
        </w:rPr>
        <w:t>D</w:t>
      </w:r>
      <w:r w:rsidRPr="007F4457">
        <w:rPr>
          <w:i/>
          <w:iCs/>
          <w:sz w:val="24"/>
        </w:rPr>
        <w:t xml:space="preserve">otace </w:t>
      </w:r>
      <w:r w:rsidR="00A7121E" w:rsidRPr="007F4457">
        <w:rPr>
          <w:i/>
          <w:iCs/>
          <w:sz w:val="24"/>
        </w:rPr>
        <w:t xml:space="preserve">podle aktivit </w:t>
      </w:r>
      <w:r w:rsidRPr="007F4457">
        <w:rPr>
          <w:i/>
          <w:iCs/>
          <w:sz w:val="24"/>
        </w:rPr>
        <w:t>v %</w:t>
      </w:r>
      <w:r w:rsidR="00614242" w:rsidRPr="007F4457">
        <w:rPr>
          <w:i/>
          <w:iCs/>
          <w:sz w:val="24"/>
        </w:rPr>
        <w:t xml:space="preserve"> z rozpočtu na investiční akce</w:t>
      </w:r>
      <w:r w:rsidR="00081743">
        <w:rPr>
          <w:i/>
          <w:iCs/>
          <w:sz w:val="24"/>
        </w:rPr>
        <w:t xml:space="preserve"> (mil. Kč)</w:t>
      </w:r>
      <w:r w:rsidR="00614242" w:rsidRPr="007F4457">
        <w:rPr>
          <w:i/>
          <w:iCs/>
          <w:sz w:val="24"/>
        </w:rPr>
        <w:t xml:space="preserve"> </w:t>
      </w:r>
      <w:r w:rsidRPr="007F4457">
        <w:rPr>
          <w:i/>
          <w:iCs/>
          <w:sz w:val="24"/>
        </w:rPr>
        <w:t xml:space="preserve"> </w:t>
      </w:r>
    </w:p>
    <w:p w:rsidR="009716AA" w:rsidRDefault="009716AA">
      <w:pPr>
        <w:jc w:val="both"/>
        <w:rPr>
          <w:b/>
          <w:bCs/>
          <w:i/>
          <w:iCs/>
          <w:sz w:val="24"/>
        </w:rPr>
      </w:pPr>
    </w:p>
    <w:p w:rsidR="00E268BC" w:rsidRPr="007F4457" w:rsidRDefault="00581D57" w:rsidP="007F4457">
      <w:pPr>
        <w:pStyle w:val="Zkladntextodsazen2"/>
        <w:spacing w:after="120"/>
        <w:ind w:firstLine="0"/>
      </w:pPr>
      <w:r w:rsidRPr="007F4457">
        <w:t xml:space="preserve">Grafy zobrazují vyhodnocení </w:t>
      </w:r>
      <w:r w:rsidR="005F1C0E" w:rsidRPr="007F4457">
        <w:t>11</w:t>
      </w:r>
      <w:r w:rsidR="00E268BC" w:rsidRPr="007F4457">
        <w:t xml:space="preserve"> </w:t>
      </w:r>
      <w:r w:rsidRPr="007F4457">
        <w:t xml:space="preserve">akcí s přímými úsporami energie. </w:t>
      </w:r>
      <w:r w:rsidR="00666B29" w:rsidRPr="007F4457">
        <w:rPr>
          <w:bCs/>
        </w:rPr>
        <w:t xml:space="preserve">Z celkového rozpočtu programu bylo na investiční aktivity vydáno </w:t>
      </w:r>
      <w:r w:rsidR="005F1C0E" w:rsidRPr="007F4457">
        <w:rPr>
          <w:bCs/>
        </w:rPr>
        <w:t>7,43</w:t>
      </w:r>
      <w:r w:rsidR="00E268BC" w:rsidRPr="007F4457">
        <w:t xml:space="preserve"> miliónů Kč</w:t>
      </w:r>
      <w:r w:rsidR="00E268BC" w:rsidRPr="007F4457">
        <w:rPr>
          <w:bCs/>
        </w:rPr>
        <w:t xml:space="preserve"> </w:t>
      </w:r>
      <w:r w:rsidR="00AD3A3C" w:rsidRPr="007F4457">
        <w:rPr>
          <w:bCs/>
        </w:rPr>
        <w:t>(</w:t>
      </w:r>
      <w:r w:rsidR="005F1C0E" w:rsidRPr="007F4457">
        <w:rPr>
          <w:bCs/>
        </w:rPr>
        <w:t>27</w:t>
      </w:r>
      <w:r w:rsidR="00AD3A3C" w:rsidRPr="007F4457">
        <w:rPr>
          <w:bCs/>
        </w:rPr>
        <w:t xml:space="preserve"> %</w:t>
      </w:r>
      <w:r w:rsidR="00D60B7B" w:rsidRPr="007F4457">
        <w:rPr>
          <w:bCs/>
        </w:rPr>
        <w:t xml:space="preserve"> rozpočtu</w:t>
      </w:r>
      <w:r w:rsidR="00E268BC" w:rsidRPr="007F4457">
        <w:rPr>
          <w:bCs/>
        </w:rPr>
        <w:t>)</w:t>
      </w:r>
      <w:r w:rsidR="00666B29" w:rsidRPr="007F4457">
        <w:rPr>
          <w:bCs/>
        </w:rPr>
        <w:t>.</w:t>
      </w:r>
      <w:r w:rsidR="00E268BC" w:rsidRPr="007F4457">
        <w:rPr>
          <w:bCs/>
        </w:rPr>
        <w:t xml:space="preserve"> </w:t>
      </w:r>
      <w:r w:rsidR="00E268BC" w:rsidRPr="007F4457">
        <w:t xml:space="preserve">Tyto projekty přinesly celkové investice ve výši </w:t>
      </w:r>
      <w:r w:rsidR="005F1C0E" w:rsidRPr="007F4457">
        <w:t>přes 21,5 miliónu</w:t>
      </w:r>
      <w:r w:rsidR="00E268BC" w:rsidRPr="007F4457">
        <w:t xml:space="preserve"> Kč. </w:t>
      </w:r>
    </w:p>
    <w:p w:rsidR="00CE0B7D" w:rsidRPr="007F4457" w:rsidRDefault="00EB6742" w:rsidP="007F4457">
      <w:pPr>
        <w:spacing w:after="120"/>
        <w:jc w:val="both"/>
        <w:rPr>
          <w:sz w:val="24"/>
        </w:rPr>
      </w:pPr>
      <w:r w:rsidRPr="007F4457">
        <w:rPr>
          <w:sz w:val="24"/>
        </w:rPr>
        <w:t xml:space="preserve">Zájem </w:t>
      </w:r>
      <w:r w:rsidR="00581D57" w:rsidRPr="007F4457">
        <w:rPr>
          <w:sz w:val="24"/>
        </w:rPr>
        <w:t xml:space="preserve">žadatelů o investiční dotace </w:t>
      </w:r>
      <w:r w:rsidR="00143CA3" w:rsidRPr="007F4457">
        <w:rPr>
          <w:sz w:val="24"/>
        </w:rPr>
        <w:t>v roce 201</w:t>
      </w:r>
      <w:r w:rsidR="00D06387" w:rsidRPr="007F4457">
        <w:rPr>
          <w:sz w:val="24"/>
        </w:rPr>
        <w:t>3</w:t>
      </w:r>
      <w:r w:rsidR="00581D57" w:rsidRPr="007F4457">
        <w:rPr>
          <w:sz w:val="24"/>
        </w:rPr>
        <w:t xml:space="preserve"> </w:t>
      </w:r>
      <w:r w:rsidR="00AD3A3C" w:rsidRPr="007F4457">
        <w:rPr>
          <w:sz w:val="24"/>
        </w:rPr>
        <w:t>byl</w:t>
      </w:r>
      <w:r w:rsidR="000D2624" w:rsidRPr="007F4457">
        <w:rPr>
          <w:sz w:val="24"/>
        </w:rPr>
        <w:t xml:space="preserve"> velký</w:t>
      </w:r>
      <w:r w:rsidR="00AD3A3C" w:rsidRPr="007F4457">
        <w:rPr>
          <w:sz w:val="24"/>
        </w:rPr>
        <w:t xml:space="preserve"> – </w:t>
      </w:r>
      <w:r w:rsidR="005F1C0E" w:rsidRPr="007F4457">
        <w:rPr>
          <w:sz w:val="24"/>
        </w:rPr>
        <w:t>100</w:t>
      </w:r>
      <w:r w:rsidR="00AD3A3C" w:rsidRPr="007F4457">
        <w:rPr>
          <w:sz w:val="24"/>
        </w:rPr>
        <w:t xml:space="preserve"> platných žádostí</w:t>
      </w:r>
      <w:r w:rsidR="000D2624" w:rsidRPr="007F4457">
        <w:rPr>
          <w:sz w:val="24"/>
        </w:rPr>
        <w:t xml:space="preserve">. </w:t>
      </w:r>
      <w:r w:rsidR="00AD3A3C" w:rsidRPr="007F4457">
        <w:rPr>
          <w:sz w:val="24"/>
        </w:rPr>
        <w:t>Vzhledem k</w:t>
      </w:r>
      <w:r w:rsidR="005F1C0E" w:rsidRPr="007F4457">
        <w:rPr>
          <w:sz w:val="24"/>
        </w:rPr>
        <w:t> </w:t>
      </w:r>
      <w:r w:rsidR="00AD3A3C" w:rsidRPr="007F4457">
        <w:rPr>
          <w:sz w:val="24"/>
        </w:rPr>
        <w:t xml:space="preserve">nízkému rozpočtu byl </w:t>
      </w:r>
      <w:r w:rsidR="00CE0B7D" w:rsidRPr="007F4457">
        <w:rPr>
          <w:sz w:val="24"/>
        </w:rPr>
        <w:t xml:space="preserve">podpořen jen </w:t>
      </w:r>
      <w:r w:rsidR="005F1C0E" w:rsidRPr="007F4457">
        <w:rPr>
          <w:sz w:val="24"/>
        </w:rPr>
        <w:t>malý počet</w:t>
      </w:r>
      <w:r w:rsidR="00581D57" w:rsidRPr="007F4457">
        <w:rPr>
          <w:sz w:val="24"/>
        </w:rPr>
        <w:t xml:space="preserve"> projektů s přímou úsporou energie. </w:t>
      </w:r>
      <w:r w:rsidR="005F1C0E" w:rsidRPr="007F4457">
        <w:rPr>
          <w:sz w:val="24"/>
        </w:rPr>
        <w:t xml:space="preserve">Dotaci nakonec čerpali příjemci jen na 11 projektů. O </w:t>
      </w:r>
      <w:r w:rsidR="00AD3A3C" w:rsidRPr="007F4457">
        <w:rPr>
          <w:sz w:val="24"/>
        </w:rPr>
        <w:t xml:space="preserve">investiční </w:t>
      </w:r>
      <w:r w:rsidR="00CE0B7D" w:rsidRPr="007F4457">
        <w:rPr>
          <w:sz w:val="24"/>
        </w:rPr>
        <w:t xml:space="preserve">dotaci </w:t>
      </w:r>
      <w:r w:rsidR="00AD3A3C" w:rsidRPr="007F4457">
        <w:rPr>
          <w:sz w:val="24"/>
        </w:rPr>
        <w:t>žádaly</w:t>
      </w:r>
      <w:r w:rsidR="00CE0B7D" w:rsidRPr="007F4457">
        <w:rPr>
          <w:sz w:val="24"/>
        </w:rPr>
        <w:t xml:space="preserve"> většinou obce</w:t>
      </w:r>
      <w:r w:rsidR="00AD3A3C" w:rsidRPr="007F4457">
        <w:rPr>
          <w:sz w:val="24"/>
        </w:rPr>
        <w:t>, které v</w:t>
      </w:r>
      <w:r w:rsidR="005F1C0E" w:rsidRPr="007F4457">
        <w:rPr>
          <w:sz w:val="24"/>
        </w:rPr>
        <w:t> </w:t>
      </w:r>
      <w:r w:rsidR="00CE0B7D" w:rsidRPr="007F4457">
        <w:rPr>
          <w:sz w:val="24"/>
        </w:rPr>
        <w:t xml:space="preserve">průběhu administrace </w:t>
      </w:r>
      <w:r w:rsidR="001F5255" w:rsidRPr="007F4457">
        <w:rPr>
          <w:sz w:val="24"/>
        </w:rPr>
        <w:t xml:space="preserve">již </w:t>
      </w:r>
      <w:r w:rsidR="00CE0B7D" w:rsidRPr="007F4457">
        <w:rPr>
          <w:sz w:val="24"/>
        </w:rPr>
        <w:t xml:space="preserve">přiznané dotace </w:t>
      </w:r>
      <w:r w:rsidR="005F1C0E" w:rsidRPr="007F4457">
        <w:rPr>
          <w:sz w:val="24"/>
        </w:rPr>
        <w:t>odstoupily od čerpání</w:t>
      </w:r>
      <w:r w:rsidR="00CE0B7D" w:rsidRPr="007F4457">
        <w:rPr>
          <w:sz w:val="24"/>
        </w:rPr>
        <w:t xml:space="preserve"> d</w:t>
      </w:r>
      <w:r w:rsidR="005F1C0E" w:rsidRPr="007F4457">
        <w:rPr>
          <w:sz w:val="24"/>
        </w:rPr>
        <w:t xml:space="preserve">otace. </w:t>
      </w:r>
      <w:r w:rsidR="007F7DA1" w:rsidRPr="007F4457">
        <w:rPr>
          <w:sz w:val="24"/>
        </w:rPr>
        <w:t>Některé o</w:t>
      </w:r>
      <w:r w:rsidR="005F1C0E" w:rsidRPr="007F4457">
        <w:rPr>
          <w:sz w:val="24"/>
        </w:rPr>
        <w:t>bce</w:t>
      </w:r>
      <w:r w:rsidR="007F7DA1" w:rsidRPr="007F4457">
        <w:rPr>
          <w:sz w:val="24"/>
        </w:rPr>
        <w:t xml:space="preserve"> </w:t>
      </w:r>
      <w:r w:rsidR="00CE0B7D" w:rsidRPr="007F4457">
        <w:rPr>
          <w:sz w:val="24"/>
        </w:rPr>
        <w:t>nedokázaly zajistit vlastní prostředky na dofinancování akce</w:t>
      </w:r>
      <w:r w:rsidR="007F7DA1" w:rsidRPr="007F4457">
        <w:rPr>
          <w:sz w:val="24"/>
        </w:rPr>
        <w:t>,</w:t>
      </w:r>
      <w:r w:rsidR="00CE0B7D" w:rsidRPr="007F4457">
        <w:rPr>
          <w:sz w:val="24"/>
        </w:rPr>
        <w:t xml:space="preserve"> nedokončily včas výběrové řízení na dodavatele zakázky</w:t>
      </w:r>
      <w:r w:rsidR="007F7DA1" w:rsidRPr="007F4457">
        <w:rPr>
          <w:sz w:val="24"/>
        </w:rPr>
        <w:t xml:space="preserve"> nebo získali zakázku za nižší cenu, než byl předpoklad</w:t>
      </w:r>
      <w:r w:rsidR="00CE0B7D" w:rsidRPr="007F4457">
        <w:rPr>
          <w:sz w:val="24"/>
        </w:rPr>
        <w:t xml:space="preserve">. </w:t>
      </w:r>
    </w:p>
    <w:p w:rsidR="002026E6" w:rsidRPr="007F4457" w:rsidRDefault="00B61662" w:rsidP="007F4457">
      <w:pPr>
        <w:spacing w:after="120"/>
        <w:jc w:val="both"/>
        <w:rPr>
          <w:sz w:val="24"/>
        </w:rPr>
      </w:pPr>
      <w:r w:rsidRPr="007F4457">
        <w:rPr>
          <w:sz w:val="24"/>
        </w:rPr>
        <w:t>Inve</w:t>
      </w:r>
      <w:r w:rsidR="00551CCE" w:rsidRPr="007F4457">
        <w:rPr>
          <w:sz w:val="24"/>
        </w:rPr>
        <w:t>s</w:t>
      </w:r>
      <w:r w:rsidRPr="007F4457">
        <w:rPr>
          <w:sz w:val="24"/>
        </w:rPr>
        <w:t>tiční</w:t>
      </w:r>
      <w:r w:rsidR="00581D57" w:rsidRPr="007F4457">
        <w:rPr>
          <w:sz w:val="24"/>
        </w:rPr>
        <w:t xml:space="preserve"> projekty přinesly </w:t>
      </w:r>
      <w:r w:rsidR="005F1C0E" w:rsidRPr="007F4457">
        <w:rPr>
          <w:sz w:val="24"/>
        </w:rPr>
        <w:t xml:space="preserve">ne příliš vysokou, ale </w:t>
      </w:r>
      <w:r w:rsidR="00581D57" w:rsidRPr="007F4457">
        <w:rPr>
          <w:sz w:val="24"/>
        </w:rPr>
        <w:t xml:space="preserve">relativně odpovídající přímou úsporou energie </w:t>
      </w:r>
      <w:r w:rsidR="00143CA3" w:rsidRPr="007F4457">
        <w:rPr>
          <w:sz w:val="24"/>
        </w:rPr>
        <w:t>přes </w:t>
      </w:r>
      <w:r w:rsidR="005F1C0E" w:rsidRPr="007F4457">
        <w:rPr>
          <w:sz w:val="24"/>
        </w:rPr>
        <w:t>6,6</w:t>
      </w:r>
      <w:r w:rsidR="00224B9C" w:rsidRPr="007F4457">
        <w:rPr>
          <w:sz w:val="24"/>
        </w:rPr>
        <w:t>2</w:t>
      </w:r>
      <w:r w:rsidR="00143CA3" w:rsidRPr="007F4457">
        <w:rPr>
          <w:sz w:val="24"/>
        </w:rPr>
        <w:t> </w:t>
      </w:r>
      <w:r w:rsidR="00581D57" w:rsidRPr="007F4457">
        <w:rPr>
          <w:sz w:val="24"/>
        </w:rPr>
        <w:t>tis</w:t>
      </w:r>
      <w:r w:rsidR="008D57CA" w:rsidRPr="007F4457">
        <w:rPr>
          <w:sz w:val="24"/>
        </w:rPr>
        <w:t>íc</w:t>
      </w:r>
      <w:r w:rsidR="00143CA3" w:rsidRPr="007F4457">
        <w:rPr>
          <w:sz w:val="24"/>
        </w:rPr>
        <w:t> </w:t>
      </w:r>
      <w:r w:rsidR="00581D57" w:rsidRPr="007F4457">
        <w:rPr>
          <w:sz w:val="24"/>
        </w:rPr>
        <w:t xml:space="preserve">GJ/rok a </w:t>
      </w:r>
      <w:r w:rsidR="00143CA3" w:rsidRPr="007F4457">
        <w:rPr>
          <w:sz w:val="24"/>
        </w:rPr>
        <w:t>1,</w:t>
      </w:r>
      <w:r w:rsidR="00224B9C" w:rsidRPr="007F4457">
        <w:rPr>
          <w:sz w:val="24"/>
        </w:rPr>
        <w:t>35</w:t>
      </w:r>
      <w:r w:rsidR="008D57CA" w:rsidRPr="007F4457">
        <w:rPr>
          <w:sz w:val="24"/>
        </w:rPr>
        <w:t xml:space="preserve"> tisíc </w:t>
      </w:r>
      <w:r w:rsidR="00581D57" w:rsidRPr="007F4457">
        <w:rPr>
          <w:sz w:val="24"/>
        </w:rPr>
        <w:t>tun CO</w:t>
      </w:r>
      <w:r w:rsidR="00581D57" w:rsidRPr="007F4457">
        <w:rPr>
          <w:sz w:val="24"/>
          <w:vertAlign w:val="subscript"/>
        </w:rPr>
        <w:t>2</w:t>
      </w:r>
      <w:r w:rsidR="008D57CA" w:rsidRPr="007F4457">
        <w:rPr>
          <w:sz w:val="24"/>
        </w:rPr>
        <w:t>/</w:t>
      </w:r>
      <w:r w:rsidR="00581D57" w:rsidRPr="007F4457">
        <w:rPr>
          <w:sz w:val="24"/>
        </w:rPr>
        <w:t xml:space="preserve">rok </w:t>
      </w:r>
      <w:r w:rsidR="00581D57" w:rsidRPr="007F4457">
        <w:rPr>
          <w:i/>
          <w:iCs/>
          <w:sz w:val="24"/>
        </w:rPr>
        <w:t>(</w:t>
      </w:r>
      <w:r w:rsidR="00224B9C" w:rsidRPr="007F4457">
        <w:rPr>
          <w:i/>
          <w:iCs/>
          <w:sz w:val="24"/>
        </w:rPr>
        <w:t xml:space="preserve">graf č. </w:t>
      </w:r>
      <w:r w:rsidR="00942922" w:rsidRPr="007F4457">
        <w:rPr>
          <w:i/>
          <w:iCs/>
          <w:sz w:val="24"/>
        </w:rPr>
        <w:t>5</w:t>
      </w:r>
      <w:r w:rsidR="00224B9C" w:rsidRPr="007F4457">
        <w:rPr>
          <w:i/>
          <w:iCs/>
          <w:sz w:val="24"/>
        </w:rPr>
        <w:t xml:space="preserve">, </w:t>
      </w:r>
      <w:r w:rsidR="00581D57" w:rsidRPr="007F4457">
        <w:rPr>
          <w:i/>
          <w:iCs/>
          <w:sz w:val="24"/>
        </w:rPr>
        <w:t xml:space="preserve">tabulka č. </w:t>
      </w:r>
      <w:r w:rsidR="00942922" w:rsidRPr="007F4457">
        <w:rPr>
          <w:i/>
          <w:iCs/>
          <w:sz w:val="24"/>
        </w:rPr>
        <w:t>4</w:t>
      </w:r>
      <w:r w:rsidR="00581D57" w:rsidRPr="007F4457">
        <w:rPr>
          <w:i/>
          <w:iCs/>
          <w:sz w:val="24"/>
        </w:rPr>
        <w:t xml:space="preserve">). </w:t>
      </w:r>
      <w:r w:rsidR="00581D57" w:rsidRPr="007F4457">
        <w:rPr>
          <w:sz w:val="24"/>
        </w:rPr>
        <w:t>Rok 201</w:t>
      </w:r>
      <w:r w:rsidR="00D06387" w:rsidRPr="007F4457">
        <w:rPr>
          <w:sz w:val="24"/>
        </w:rPr>
        <w:t>3</w:t>
      </w:r>
      <w:r w:rsidR="00773E3A" w:rsidRPr="007F4457">
        <w:rPr>
          <w:sz w:val="24"/>
        </w:rPr>
        <w:t xml:space="preserve"> potvrdil</w:t>
      </w:r>
      <w:r w:rsidRPr="007F4457">
        <w:rPr>
          <w:sz w:val="24"/>
        </w:rPr>
        <w:t xml:space="preserve"> </w:t>
      </w:r>
      <w:r w:rsidR="00581D57" w:rsidRPr="007F4457">
        <w:rPr>
          <w:sz w:val="24"/>
        </w:rPr>
        <w:t xml:space="preserve">velký zájem žadatelů o investiční dotace </w:t>
      </w:r>
      <w:r w:rsidR="00773E3A" w:rsidRPr="007F4457">
        <w:rPr>
          <w:sz w:val="24"/>
        </w:rPr>
        <w:t xml:space="preserve">a počet žádostí </w:t>
      </w:r>
      <w:r w:rsidR="00581D57" w:rsidRPr="007F4457">
        <w:rPr>
          <w:sz w:val="24"/>
        </w:rPr>
        <w:t>v roce 201</w:t>
      </w:r>
      <w:r w:rsidR="00224B9C" w:rsidRPr="007F4457">
        <w:rPr>
          <w:sz w:val="24"/>
        </w:rPr>
        <w:t>4</w:t>
      </w:r>
      <w:r w:rsidRPr="007F4457">
        <w:rPr>
          <w:sz w:val="24"/>
        </w:rPr>
        <w:t xml:space="preserve"> </w:t>
      </w:r>
      <w:r w:rsidR="00773E3A" w:rsidRPr="007F4457">
        <w:rPr>
          <w:sz w:val="24"/>
        </w:rPr>
        <w:t>vzrůstající trend potvrzuje.</w:t>
      </w:r>
    </w:p>
    <w:p w:rsidR="002B6791" w:rsidRPr="005A4B00" w:rsidRDefault="00581D57" w:rsidP="007F4457">
      <w:pPr>
        <w:pStyle w:val="Zkladntextodsazen2"/>
        <w:spacing w:after="120"/>
        <w:ind w:firstLine="0"/>
      </w:pPr>
      <w:r w:rsidRPr="005A4B00">
        <w:t xml:space="preserve">Tzv. investiční projekty, tedy projekty s přímou úsporou energie, </w:t>
      </w:r>
      <w:r w:rsidR="005A4B00" w:rsidRPr="005A4B00">
        <w:t>jsou z pohledu celkového rozpočtu programu finančně náročné. Je možné podpořit pouze několik těchto projektů ročně. Přímé úspory energie z tohoto důvodu nejsou významné v porovnání s dosahovanými úsporami jiných programů (OPPI, OPŽP</w:t>
      </w:r>
      <w:r w:rsidR="00F4248B">
        <w:t>, Zelená úsporám</w:t>
      </w:r>
      <w:r w:rsidR="005A4B00" w:rsidRPr="005A4B00">
        <w:t xml:space="preserve">). </w:t>
      </w:r>
      <w:r w:rsidR="00224B9C" w:rsidRPr="005A4B00">
        <w:t xml:space="preserve">I tak ale přinesla dotace ve výši 7,43 mil. Kč celkové investice do projektů ve výši 21,63 mil. Kč </w:t>
      </w:r>
      <w:r w:rsidR="00224B9C" w:rsidRPr="005A4B00">
        <w:rPr>
          <w:i/>
        </w:rPr>
        <w:t xml:space="preserve">(graf č. </w:t>
      </w:r>
      <w:r w:rsidR="00942922" w:rsidRPr="005A4B00">
        <w:rPr>
          <w:i/>
        </w:rPr>
        <w:t>6</w:t>
      </w:r>
      <w:r w:rsidR="00224B9C" w:rsidRPr="005A4B00">
        <w:rPr>
          <w:i/>
        </w:rPr>
        <w:t>).</w:t>
      </w:r>
    </w:p>
    <w:p w:rsidR="00EC247D" w:rsidRPr="007F4457" w:rsidRDefault="00EC247D" w:rsidP="007F445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81D57" w:rsidRPr="007F4457" w:rsidRDefault="00A76DD9" w:rsidP="007F4457">
      <w:pPr>
        <w:spacing w:after="120"/>
        <w:jc w:val="both"/>
        <w:rPr>
          <w:b/>
          <w:sz w:val="24"/>
          <w:szCs w:val="24"/>
        </w:rPr>
      </w:pPr>
      <w:r w:rsidRPr="007F4457">
        <w:rPr>
          <w:b/>
          <w:bCs/>
          <w:sz w:val="24"/>
          <w:szCs w:val="24"/>
        </w:rPr>
        <w:t xml:space="preserve">V </w:t>
      </w:r>
      <w:r w:rsidR="00581D57" w:rsidRPr="007F4457">
        <w:rPr>
          <w:b/>
          <w:sz w:val="24"/>
          <w:szCs w:val="24"/>
        </w:rPr>
        <w:t xml:space="preserve">oblasti </w:t>
      </w:r>
      <w:r w:rsidRPr="007F4457">
        <w:rPr>
          <w:b/>
          <w:bCs/>
          <w:sz w:val="24"/>
          <w:szCs w:val="24"/>
        </w:rPr>
        <w:t>úspory energie</w:t>
      </w:r>
      <w:r w:rsidRPr="007F4457">
        <w:rPr>
          <w:b/>
          <w:sz w:val="24"/>
          <w:szCs w:val="24"/>
        </w:rPr>
        <w:t xml:space="preserve"> </w:t>
      </w:r>
      <w:r w:rsidR="00581D57" w:rsidRPr="007F4457">
        <w:rPr>
          <w:b/>
          <w:sz w:val="24"/>
          <w:szCs w:val="24"/>
        </w:rPr>
        <w:t>byly vypsány aktivity a podpořeny projekty:</w:t>
      </w:r>
    </w:p>
    <w:p w:rsidR="00581D57" w:rsidRPr="007F4457" w:rsidRDefault="004E5F19" w:rsidP="003E4497">
      <w:pPr>
        <w:numPr>
          <w:ilvl w:val="0"/>
          <w:numId w:val="2"/>
        </w:numPr>
        <w:tabs>
          <w:tab w:val="left" w:pos="709"/>
        </w:tabs>
        <w:spacing w:after="120"/>
        <w:ind w:left="360" w:firstLine="0"/>
        <w:jc w:val="both"/>
        <w:rPr>
          <w:sz w:val="24"/>
          <w:szCs w:val="24"/>
        </w:rPr>
      </w:pPr>
      <w:r w:rsidRPr="007F4457">
        <w:rPr>
          <w:bCs/>
          <w:sz w:val="24"/>
          <w:szCs w:val="24"/>
        </w:rPr>
        <w:t>Komplexní opatření ke snížení energetické náročnosti osvětlovací soustavy</w:t>
      </w:r>
      <w:r w:rsidR="00516436" w:rsidRPr="007F4457">
        <w:rPr>
          <w:bCs/>
          <w:sz w:val="24"/>
          <w:szCs w:val="24"/>
        </w:rPr>
        <w:t>.</w:t>
      </w:r>
      <w:r w:rsidR="00A76DD9" w:rsidRPr="007F4457">
        <w:rPr>
          <w:bCs/>
          <w:sz w:val="24"/>
          <w:szCs w:val="24"/>
        </w:rPr>
        <w:t xml:space="preserve"> </w:t>
      </w:r>
      <w:r w:rsidR="003D1912" w:rsidRPr="007F4457">
        <w:rPr>
          <w:bCs/>
          <w:sz w:val="24"/>
          <w:szCs w:val="24"/>
        </w:rPr>
        <w:t>P</w:t>
      </w:r>
      <w:r w:rsidR="00516436" w:rsidRPr="007F4457">
        <w:rPr>
          <w:bCs/>
          <w:sz w:val="24"/>
          <w:szCs w:val="24"/>
        </w:rPr>
        <w:t>odpořen</w:t>
      </w:r>
      <w:r w:rsidR="003D1912" w:rsidRPr="007F4457">
        <w:rPr>
          <w:bCs/>
          <w:sz w:val="24"/>
          <w:szCs w:val="24"/>
        </w:rPr>
        <w:t xml:space="preserve">o </w:t>
      </w:r>
      <w:r w:rsidR="00A76DD9" w:rsidRPr="007F4457">
        <w:rPr>
          <w:bCs/>
          <w:sz w:val="24"/>
          <w:szCs w:val="24"/>
        </w:rPr>
        <w:t xml:space="preserve">bylo </w:t>
      </w:r>
      <w:r w:rsidR="00EC247D" w:rsidRPr="007F4457">
        <w:rPr>
          <w:bCs/>
          <w:sz w:val="24"/>
          <w:szCs w:val="24"/>
        </w:rPr>
        <w:t>7</w:t>
      </w:r>
      <w:r w:rsidR="00581D57" w:rsidRPr="007F4457">
        <w:rPr>
          <w:bCs/>
          <w:sz w:val="24"/>
          <w:szCs w:val="24"/>
        </w:rPr>
        <w:t xml:space="preserve"> projekt</w:t>
      </w:r>
      <w:r w:rsidR="00516436" w:rsidRPr="007F4457">
        <w:rPr>
          <w:bCs/>
          <w:sz w:val="24"/>
          <w:szCs w:val="24"/>
        </w:rPr>
        <w:t>ů</w:t>
      </w:r>
      <w:r w:rsidR="00A76DD9" w:rsidRPr="007F4457">
        <w:rPr>
          <w:bCs/>
          <w:sz w:val="24"/>
          <w:szCs w:val="24"/>
        </w:rPr>
        <w:t xml:space="preserve"> a p</w:t>
      </w:r>
      <w:r w:rsidR="00516436" w:rsidRPr="007F4457">
        <w:rPr>
          <w:bCs/>
          <w:sz w:val="24"/>
          <w:szCs w:val="24"/>
        </w:rPr>
        <w:t xml:space="preserve">rovedená opatření </w:t>
      </w:r>
      <w:r w:rsidR="00516436" w:rsidRPr="007F4457">
        <w:rPr>
          <w:sz w:val="24"/>
          <w:szCs w:val="24"/>
        </w:rPr>
        <w:t>přinesla roční úsporu energie ve</w:t>
      </w:r>
      <w:r w:rsidR="002105F9" w:rsidRPr="007F4457">
        <w:rPr>
          <w:sz w:val="24"/>
          <w:szCs w:val="24"/>
        </w:rPr>
        <w:t> </w:t>
      </w:r>
      <w:r w:rsidR="00516436" w:rsidRPr="007F4457">
        <w:rPr>
          <w:sz w:val="24"/>
          <w:szCs w:val="24"/>
        </w:rPr>
        <w:t xml:space="preserve">výši </w:t>
      </w:r>
      <w:r w:rsidR="00A76DD9" w:rsidRPr="007F4457">
        <w:rPr>
          <w:sz w:val="24"/>
          <w:szCs w:val="24"/>
        </w:rPr>
        <w:t>3251</w:t>
      </w:r>
      <w:r w:rsidR="00516436" w:rsidRPr="007F4457">
        <w:rPr>
          <w:sz w:val="24"/>
          <w:szCs w:val="24"/>
        </w:rPr>
        <w:t xml:space="preserve"> </w:t>
      </w:r>
      <w:r w:rsidR="00581D57" w:rsidRPr="007F4457">
        <w:rPr>
          <w:sz w:val="24"/>
          <w:szCs w:val="24"/>
        </w:rPr>
        <w:t xml:space="preserve">GJ, což odpovídá </w:t>
      </w:r>
      <w:r w:rsidR="00A76DD9" w:rsidRPr="007F4457">
        <w:rPr>
          <w:sz w:val="24"/>
          <w:szCs w:val="24"/>
        </w:rPr>
        <w:t>913</w:t>
      </w:r>
      <w:r w:rsidR="00581D57" w:rsidRPr="007F4457">
        <w:rPr>
          <w:sz w:val="24"/>
          <w:szCs w:val="24"/>
        </w:rPr>
        <w:t> </w:t>
      </w:r>
      <w:proofErr w:type="spellStart"/>
      <w:r w:rsidR="00581D57" w:rsidRPr="007F4457">
        <w:rPr>
          <w:sz w:val="24"/>
          <w:szCs w:val="24"/>
        </w:rPr>
        <w:t>MWh</w:t>
      </w:r>
      <w:proofErr w:type="spellEnd"/>
      <w:r w:rsidR="00581D57" w:rsidRPr="007F4457">
        <w:rPr>
          <w:sz w:val="24"/>
          <w:szCs w:val="24"/>
        </w:rPr>
        <w:t>.</w:t>
      </w:r>
    </w:p>
    <w:p w:rsidR="00773E3A" w:rsidRPr="007F4457" w:rsidRDefault="00581D57" w:rsidP="003E4497">
      <w:pPr>
        <w:numPr>
          <w:ilvl w:val="0"/>
          <w:numId w:val="2"/>
        </w:numPr>
        <w:tabs>
          <w:tab w:val="left" w:pos="709"/>
        </w:tabs>
        <w:spacing w:after="120"/>
        <w:ind w:left="360" w:firstLine="0"/>
        <w:jc w:val="both"/>
        <w:rPr>
          <w:sz w:val="24"/>
          <w:szCs w:val="24"/>
        </w:rPr>
      </w:pPr>
      <w:r w:rsidRPr="007F4457">
        <w:rPr>
          <w:sz w:val="24"/>
          <w:szCs w:val="24"/>
        </w:rPr>
        <w:t>Úspory energie ve výrobních průmyslových procesech</w:t>
      </w:r>
      <w:r w:rsidR="004E5F19" w:rsidRPr="007F4457">
        <w:rPr>
          <w:sz w:val="24"/>
          <w:szCs w:val="24"/>
        </w:rPr>
        <w:t xml:space="preserve"> a teplárenství</w:t>
      </w:r>
      <w:r w:rsidR="00A76DD9" w:rsidRPr="007F4457">
        <w:rPr>
          <w:sz w:val="24"/>
          <w:szCs w:val="24"/>
        </w:rPr>
        <w:t xml:space="preserve"> - v</w:t>
      </w:r>
      <w:r w:rsidR="00773E3A" w:rsidRPr="007F4457">
        <w:rPr>
          <w:sz w:val="24"/>
          <w:szCs w:val="24"/>
        </w:rPr>
        <w:t xml:space="preserve"> této oblasti nebyl podpořen žádný projekt kvůli nedostatku finančních prostředků.</w:t>
      </w:r>
    </w:p>
    <w:p w:rsidR="00581D57" w:rsidRPr="007F4457" w:rsidRDefault="00581D57" w:rsidP="003E4497">
      <w:pPr>
        <w:numPr>
          <w:ilvl w:val="0"/>
          <w:numId w:val="2"/>
        </w:numPr>
        <w:tabs>
          <w:tab w:val="left" w:pos="709"/>
        </w:tabs>
        <w:spacing w:after="120"/>
        <w:ind w:left="360" w:firstLine="0"/>
        <w:jc w:val="both"/>
        <w:rPr>
          <w:sz w:val="24"/>
          <w:szCs w:val="24"/>
        </w:rPr>
      </w:pPr>
      <w:r w:rsidRPr="007F4457">
        <w:rPr>
          <w:bCs/>
          <w:sz w:val="24"/>
          <w:szCs w:val="24"/>
        </w:rPr>
        <w:t>Rekonstrukce otopné soustavy a zdroje tepla v budově</w:t>
      </w:r>
      <w:r w:rsidR="00A76DD9" w:rsidRPr="007F4457">
        <w:rPr>
          <w:bCs/>
          <w:sz w:val="24"/>
          <w:szCs w:val="24"/>
        </w:rPr>
        <w:t xml:space="preserve"> - p</w:t>
      </w:r>
      <w:r w:rsidR="0024697D" w:rsidRPr="007F4457">
        <w:rPr>
          <w:bCs/>
          <w:sz w:val="24"/>
          <w:szCs w:val="24"/>
        </w:rPr>
        <w:t>odpořen</w:t>
      </w:r>
      <w:r w:rsidR="00A76DD9" w:rsidRPr="007F4457">
        <w:rPr>
          <w:bCs/>
          <w:sz w:val="24"/>
          <w:szCs w:val="24"/>
        </w:rPr>
        <w:t>y</w:t>
      </w:r>
      <w:r w:rsidRPr="007F4457">
        <w:rPr>
          <w:bCs/>
          <w:sz w:val="24"/>
          <w:szCs w:val="24"/>
        </w:rPr>
        <w:t xml:space="preserve"> </w:t>
      </w:r>
      <w:r w:rsidR="00A76DD9" w:rsidRPr="007F4457">
        <w:rPr>
          <w:bCs/>
          <w:sz w:val="24"/>
          <w:szCs w:val="24"/>
        </w:rPr>
        <w:t xml:space="preserve">byly 4 </w:t>
      </w:r>
      <w:r w:rsidRPr="007F4457">
        <w:rPr>
          <w:bCs/>
          <w:sz w:val="24"/>
          <w:szCs w:val="24"/>
        </w:rPr>
        <w:t>projekt</w:t>
      </w:r>
      <w:r w:rsidR="00A76DD9" w:rsidRPr="007F4457">
        <w:rPr>
          <w:bCs/>
          <w:sz w:val="24"/>
          <w:szCs w:val="24"/>
        </w:rPr>
        <w:t>y a r</w:t>
      </w:r>
      <w:r w:rsidRPr="007F4457">
        <w:rPr>
          <w:sz w:val="24"/>
          <w:szCs w:val="24"/>
        </w:rPr>
        <w:t xml:space="preserve">ekonstrukce přinese roční úsporu energie </w:t>
      </w:r>
      <w:r w:rsidR="00773E3A" w:rsidRPr="007F4457">
        <w:rPr>
          <w:sz w:val="24"/>
          <w:szCs w:val="24"/>
        </w:rPr>
        <w:t>3.</w:t>
      </w:r>
      <w:r w:rsidR="00A76DD9" w:rsidRPr="007F4457">
        <w:rPr>
          <w:sz w:val="24"/>
          <w:szCs w:val="24"/>
        </w:rPr>
        <w:t>364</w:t>
      </w:r>
      <w:r w:rsidRPr="007F4457">
        <w:rPr>
          <w:sz w:val="24"/>
          <w:szCs w:val="24"/>
        </w:rPr>
        <w:t xml:space="preserve"> GJ, což odpovídá </w:t>
      </w:r>
      <w:r w:rsidR="00A76DD9" w:rsidRPr="007F4457">
        <w:rPr>
          <w:sz w:val="24"/>
          <w:szCs w:val="24"/>
        </w:rPr>
        <w:t>945</w:t>
      </w:r>
      <w:r w:rsidRPr="007F4457">
        <w:rPr>
          <w:sz w:val="24"/>
          <w:szCs w:val="24"/>
        </w:rPr>
        <w:t> </w:t>
      </w:r>
      <w:proofErr w:type="spellStart"/>
      <w:r w:rsidRPr="007F4457">
        <w:rPr>
          <w:sz w:val="24"/>
          <w:szCs w:val="24"/>
        </w:rPr>
        <w:t>MWh</w:t>
      </w:r>
      <w:proofErr w:type="spellEnd"/>
      <w:r w:rsidRPr="007F4457">
        <w:rPr>
          <w:sz w:val="24"/>
          <w:szCs w:val="24"/>
        </w:rPr>
        <w:t>.</w:t>
      </w:r>
    </w:p>
    <w:p w:rsidR="00AE6263" w:rsidRDefault="00143CA3" w:rsidP="003E4497">
      <w:pPr>
        <w:numPr>
          <w:ilvl w:val="0"/>
          <w:numId w:val="2"/>
        </w:numPr>
        <w:tabs>
          <w:tab w:val="left" w:pos="709"/>
        </w:tabs>
        <w:spacing w:after="120"/>
        <w:ind w:left="360" w:firstLine="0"/>
        <w:jc w:val="both"/>
        <w:rPr>
          <w:sz w:val="24"/>
        </w:rPr>
      </w:pPr>
      <w:r w:rsidRPr="007F4457">
        <w:rPr>
          <w:bCs/>
          <w:sz w:val="24"/>
          <w:szCs w:val="24"/>
        </w:rPr>
        <w:t>Zařízení k využití tepelné nebo tlakové odpadní energie</w:t>
      </w:r>
      <w:r w:rsidR="00A76DD9" w:rsidRPr="007F4457">
        <w:rPr>
          <w:bCs/>
          <w:sz w:val="24"/>
          <w:szCs w:val="24"/>
        </w:rPr>
        <w:t xml:space="preserve"> - </w:t>
      </w:r>
      <w:r w:rsidR="00A76DD9" w:rsidRPr="007F4457">
        <w:rPr>
          <w:sz w:val="24"/>
          <w:szCs w:val="24"/>
        </w:rPr>
        <w:t>v této oblasti nebyl podpořen žádný projekt kvůli nedostatku finančních prostředků.</w:t>
      </w:r>
      <w:r w:rsidR="00A76DD9" w:rsidRPr="007F4457">
        <w:rPr>
          <w:sz w:val="24"/>
        </w:rPr>
        <w:t xml:space="preserve"> </w:t>
      </w:r>
    </w:p>
    <w:p w:rsidR="002D20F4" w:rsidRDefault="002D20F4" w:rsidP="001801FE">
      <w:pPr>
        <w:pStyle w:val="Nadpis3"/>
        <w:tabs>
          <w:tab w:val="left" w:pos="426"/>
        </w:tabs>
        <w:rPr>
          <w:b w:val="0"/>
          <w:color w:val="auto"/>
        </w:rPr>
      </w:pPr>
    </w:p>
    <w:p w:rsidR="000A57DF" w:rsidRPr="00D302BE" w:rsidRDefault="00D302BE" w:rsidP="00D302BE">
      <w:pPr>
        <w:pStyle w:val="Nadpis3"/>
        <w:ind w:left="360"/>
      </w:pPr>
      <w:bookmarkStart w:id="6" w:name="_Toc388021631"/>
      <w:bookmarkStart w:id="7" w:name="_Toc388021756"/>
      <w:proofErr w:type="gramStart"/>
      <w:r w:rsidRPr="00D302BE">
        <w:t>2.2</w:t>
      </w:r>
      <w:proofErr w:type="gramEnd"/>
      <w:r w:rsidRPr="00D302BE">
        <w:t xml:space="preserve">.  </w:t>
      </w:r>
      <w:r w:rsidR="009474E6" w:rsidRPr="00D302BE">
        <w:t>VYHODNOCENÍ NEINVESTIČNÍCH AKCÍ</w:t>
      </w:r>
      <w:bookmarkEnd w:id="6"/>
      <w:bookmarkEnd w:id="7"/>
      <w:r w:rsidR="009474E6" w:rsidRPr="00D302BE">
        <w:t xml:space="preserve"> </w:t>
      </w:r>
    </w:p>
    <w:p w:rsidR="009A5E1B" w:rsidRPr="00E4735C" w:rsidRDefault="009A5E1B" w:rsidP="000A57DF">
      <w:pPr>
        <w:pStyle w:val="Zkladntextodsazen3"/>
        <w:ind w:firstLine="0"/>
      </w:pPr>
    </w:p>
    <w:p w:rsidR="00512858" w:rsidRPr="00E4735C" w:rsidRDefault="00581D57" w:rsidP="000A57DF">
      <w:pPr>
        <w:pStyle w:val="Zkladntextodsazen3"/>
        <w:ind w:firstLine="0"/>
      </w:pPr>
      <w:r w:rsidRPr="00E4735C">
        <w:t xml:space="preserve">Dotace ve výši </w:t>
      </w:r>
      <w:r w:rsidR="007B5B9C" w:rsidRPr="00E4735C">
        <w:t>2</w:t>
      </w:r>
      <w:r w:rsidR="00797C58" w:rsidRPr="00E4735C">
        <w:t>0,</w:t>
      </w:r>
      <w:r w:rsidR="00212198" w:rsidRPr="00E4735C">
        <w:t>36</w:t>
      </w:r>
      <w:r w:rsidRPr="00E4735C">
        <w:t xml:space="preserve"> mil. Kč byla poskytnuta na 1</w:t>
      </w:r>
      <w:r w:rsidR="00212198" w:rsidRPr="00E4735C">
        <w:t>4</w:t>
      </w:r>
      <w:r w:rsidR="005D2787" w:rsidRPr="00E4735C">
        <w:t>3</w:t>
      </w:r>
      <w:r w:rsidRPr="00E4735C">
        <w:t xml:space="preserve"> akcí s celkovými investičními náklady </w:t>
      </w:r>
      <w:r w:rsidR="001C60B6" w:rsidRPr="00E4735C">
        <w:t>přes</w:t>
      </w:r>
      <w:r w:rsidR="00CE039E" w:rsidRPr="00E4735C">
        <w:t xml:space="preserve"> </w:t>
      </w:r>
      <w:r w:rsidR="00212198" w:rsidRPr="00E4735C">
        <w:t>22</w:t>
      </w:r>
      <w:r w:rsidRPr="00E4735C">
        <w:t xml:space="preserve"> mil. Kč. </w:t>
      </w:r>
    </w:p>
    <w:p w:rsidR="009A5E1B" w:rsidRPr="00E4735C" w:rsidRDefault="009A5E1B" w:rsidP="000A57DF">
      <w:pPr>
        <w:pStyle w:val="Zkladntextodsazen3"/>
        <w:ind w:firstLine="0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64"/>
        <w:gridCol w:w="1722"/>
        <w:gridCol w:w="1984"/>
      </w:tblGrid>
      <w:tr w:rsidR="003A2C42" w:rsidRPr="00E4735C" w:rsidTr="00AF0D39">
        <w:trPr>
          <w:trHeight w:val="62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42" w:rsidRPr="00E4735C" w:rsidRDefault="003A2C42" w:rsidP="00E473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4735C">
              <w:rPr>
                <w:color w:val="000000"/>
                <w:sz w:val="22"/>
                <w:szCs w:val="22"/>
              </w:rPr>
              <w:t>Aktivita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C42" w:rsidRPr="00E4735C" w:rsidRDefault="003A2C42" w:rsidP="00E473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4735C">
              <w:rPr>
                <w:b/>
                <w:bCs/>
                <w:color w:val="000000"/>
                <w:sz w:val="22"/>
                <w:szCs w:val="22"/>
              </w:rPr>
              <w:t>Celk</w:t>
            </w:r>
            <w:proofErr w:type="spellEnd"/>
            <w:r w:rsidRPr="00E4735C">
              <w:rPr>
                <w:b/>
                <w:bCs/>
                <w:color w:val="000000"/>
                <w:sz w:val="22"/>
                <w:szCs w:val="22"/>
              </w:rPr>
              <w:t>. investiční náklady Kč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2" w:rsidRPr="00E4735C" w:rsidRDefault="003A2C42" w:rsidP="00E473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4735C">
              <w:rPr>
                <w:b/>
                <w:bCs/>
                <w:color w:val="000000"/>
                <w:sz w:val="22"/>
                <w:szCs w:val="22"/>
              </w:rPr>
              <w:t>Podpořené  projekty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2" w:rsidRPr="00E4735C" w:rsidRDefault="003A2C42" w:rsidP="00E473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4735C">
              <w:rPr>
                <w:b/>
                <w:bCs/>
                <w:color w:val="000000"/>
                <w:sz w:val="22"/>
                <w:szCs w:val="22"/>
              </w:rPr>
              <w:t xml:space="preserve">Přidělená </w:t>
            </w:r>
            <w:proofErr w:type="gramStart"/>
            <w:r w:rsidRPr="00E4735C">
              <w:rPr>
                <w:b/>
                <w:bCs/>
                <w:color w:val="000000"/>
                <w:sz w:val="22"/>
                <w:szCs w:val="22"/>
              </w:rPr>
              <w:t>dotace  Kč</w:t>
            </w:r>
            <w:proofErr w:type="gramEnd"/>
          </w:p>
        </w:tc>
      </w:tr>
      <w:tr w:rsidR="003A2C42" w:rsidRPr="00E4735C" w:rsidTr="00143874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A - Plán úspor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C42" w:rsidRPr="00E4735C" w:rsidRDefault="003A2C42" w:rsidP="00750B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189 830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750B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75 932</w:t>
            </w:r>
          </w:p>
        </w:tc>
      </w:tr>
      <w:tr w:rsidR="003A2C42" w:rsidRPr="00E4735C" w:rsidTr="00143874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C - Energetické poradenství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C42" w:rsidRPr="00E4735C" w:rsidRDefault="003A2C42" w:rsidP="00750B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6 253 776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750B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6 253 776</w:t>
            </w:r>
          </w:p>
        </w:tc>
      </w:tr>
      <w:tr w:rsidR="003A2C42" w:rsidRPr="00E4735C" w:rsidTr="00143874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D - Propagace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C42" w:rsidRPr="00E4735C" w:rsidRDefault="003A2C42" w:rsidP="00750B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12 425 000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750B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11 600 000</w:t>
            </w:r>
          </w:p>
        </w:tc>
      </w:tr>
      <w:tr w:rsidR="003A2C42" w:rsidRPr="00E4735C" w:rsidTr="00143874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E - Energetický management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C42" w:rsidRPr="00E4735C" w:rsidRDefault="003A2C42" w:rsidP="00750B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3 340 250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F0529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2</w:t>
            </w:r>
            <w:r w:rsidR="00F05298">
              <w:rPr>
                <w:sz w:val="22"/>
                <w:szCs w:val="22"/>
              </w:rPr>
              <w:t xml:space="preserve"> </w:t>
            </w:r>
            <w:r w:rsidRPr="00E4735C">
              <w:rPr>
                <w:sz w:val="22"/>
                <w:szCs w:val="22"/>
              </w:rPr>
              <w:t>43</w:t>
            </w:r>
            <w:r w:rsidR="00F05298">
              <w:rPr>
                <w:sz w:val="22"/>
                <w:szCs w:val="22"/>
              </w:rPr>
              <w:t xml:space="preserve">2 </w:t>
            </w:r>
            <w:r w:rsidRPr="00E4735C">
              <w:rPr>
                <w:sz w:val="22"/>
                <w:szCs w:val="22"/>
              </w:rPr>
              <w:t>767</w:t>
            </w:r>
          </w:p>
        </w:tc>
      </w:tr>
      <w:tr w:rsidR="003A2C42" w:rsidRPr="00E4735C" w:rsidTr="0014387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F - Specifické projekty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C42" w:rsidRPr="00E4735C" w:rsidRDefault="003A2C42" w:rsidP="00750B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2" w:rsidRPr="00E4735C" w:rsidRDefault="003A2C42" w:rsidP="003A2C4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2" w:rsidRPr="00E4735C" w:rsidRDefault="003A2C42" w:rsidP="00750B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4735C">
              <w:rPr>
                <w:sz w:val="22"/>
                <w:szCs w:val="22"/>
              </w:rPr>
              <w:t>0</w:t>
            </w:r>
          </w:p>
        </w:tc>
      </w:tr>
      <w:tr w:rsidR="009B7642" w:rsidRPr="00E4735C" w:rsidTr="00143874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642" w:rsidRPr="00E4735C" w:rsidRDefault="009B7642" w:rsidP="009B764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2"/>
              </w:rPr>
            </w:pPr>
            <w:r w:rsidRPr="00E4735C">
              <w:rPr>
                <w:bCs/>
                <w:color w:val="000000"/>
                <w:sz w:val="24"/>
                <w:szCs w:val="18"/>
              </w:rPr>
              <w:t>Celkem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642" w:rsidRPr="00E4735C" w:rsidRDefault="00C63BF4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color w:val="000000"/>
                <w:sz w:val="24"/>
                <w:szCs w:val="22"/>
              </w:rPr>
            </w:pPr>
            <w:r w:rsidRPr="00E4735C">
              <w:rPr>
                <w:bCs/>
                <w:color w:val="000000"/>
                <w:sz w:val="24"/>
                <w:szCs w:val="22"/>
              </w:rPr>
              <w:t>22 208 856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642" w:rsidRPr="00E4735C" w:rsidRDefault="00C63BF4" w:rsidP="00C63BF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2"/>
              </w:rPr>
            </w:pPr>
            <w:r w:rsidRPr="00E4735C">
              <w:rPr>
                <w:bCs/>
                <w:color w:val="000000"/>
                <w:sz w:val="24"/>
                <w:szCs w:val="22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642" w:rsidRPr="00E4735C" w:rsidRDefault="003B174C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color w:val="000000"/>
                <w:sz w:val="24"/>
                <w:szCs w:val="22"/>
              </w:rPr>
            </w:pPr>
            <w:r w:rsidRPr="00E4735C">
              <w:rPr>
                <w:bCs/>
                <w:color w:val="000000"/>
                <w:sz w:val="24"/>
                <w:szCs w:val="22"/>
              </w:rPr>
              <w:t>20 362 47</w:t>
            </w:r>
            <w:r w:rsidR="00C63BF4" w:rsidRPr="00E4735C">
              <w:rPr>
                <w:bCs/>
                <w:color w:val="000000"/>
                <w:sz w:val="24"/>
                <w:szCs w:val="22"/>
              </w:rPr>
              <w:t>5</w:t>
            </w:r>
          </w:p>
        </w:tc>
      </w:tr>
    </w:tbl>
    <w:p w:rsidR="00581D57" w:rsidRDefault="00581D57">
      <w:pPr>
        <w:pStyle w:val="Nadpis5"/>
        <w:rPr>
          <w:color w:val="auto"/>
        </w:rPr>
      </w:pPr>
      <w:r w:rsidRPr="00E4735C">
        <w:rPr>
          <w:color w:val="auto"/>
        </w:rPr>
        <w:t xml:space="preserve">Tab. </w:t>
      </w:r>
      <w:proofErr w:type="gramStart"/>
      <w:r w:rsidRPr="00E4735C">
        <w:rPr>
          <w:color w:val="auto"/>
        </w:rPr>
        <w:t>č.</w:t>
      </w:r>
      <w:proofErr w:type="gramEnd"/>
      <w:r w:rsidRPr="00E4735C">
        <w:rPr>
          <w:color w:val="auto"/>
        </w:rPr>
        <w:t xml:space="preserve">  </w:t>
      </w:r>
      <w:r w:rsidR="00795731" w:rsidRPr="00E4735C">
        <w:rPr>
          <w:color w:val="auto"/>
        </w:rPr>
        <w:t>5</w:t>
      </w:r>
      <w:r w:rsidRPr="00E4735C">
        <w:rPr>
          <w:color w:val="auto"/>
        </w:rPr>
        <w:t xml:space="preserve"> - Vyhodnocení projektů s nepřímými úsporami energie</w:t>
      </w:r>
    </w:p>
    <w:p w:rsidR="009A5E1B" w:rsidRPr="009A5E1B" w:rsidRDefault="009A5E1B" w:rsidP="009A5E1B"/>
    <w:p w:rsidR="00E25FBC" w:rsidRPr="00F05564" w:rsidRDefault="003850E6" w:rsidP="00F05564">
      <w:pPr>
        <w:spacing w:after="120"/>
        <w:jc w:val="both"/>
        <w:rPr>
          <w:sz w:val="24"/>
        </w:rPr>
      </w:pPr>
      <w:r w:rsidRPr="00F05564">
        <w:rPr>
          <w:sz w:val="24"/>
        </w:rPr>
        <w:t>Podpořené</w:t>
      </w:r>
      <w:r w:rsidR="00E25FBC" w:rsidRPr="00F05564">
        <w:rPr>
          <w:sz w:val="24"/>
        </w:rPr>
        <w:t xml:space="preserve"> akce s nepřímou úsporou energie mají svůj </w:t>
      </w:r>
      <w:r w:rsidRPr="00F05564">
        <w:rPr>
          <w:sz w:val="24"/>
        </w:rPr>
        <w:t xml:space="preserve">nesporný </w:t>
      </w:r>
      <w:r w:rsidR="00E25FBC" w:rsidRPr="00F05564">
        <w:rPr>
          <w:sz w:val="24"/>
        </w:rPr>
        <w:t xml:space="preserve">smysl, i když </w:t>
      </w:r>
      <w:r w:rsidR="001C60B6" w:rsidRPr="00F05564">
        <w:rPr>
          <w:sz w:val="24"/>
        </w:rPr>
        <w:t>takto docílenou úsporu</w:t>
      </w:r>
      <w:r w:rsidR="00E25FBC" w:rsidRPr="00F05564">
        <w:rPr>
          <w:sz w:val="24"/>
        </w:rPr>
        <w:t xml:space="preserve"> energie nelze jednoduše vyčíslit. Pozitivní výsledky státní dotace v oblasti propagace </w:t>
      </w:r>
      <w:r w:rsidRPr="00F05564">
        <w:rPr>
          <w:sz w:val="24"/>
        </w:rPr>
        <w:t xml:space="preserve">se nezbytně </w:t>
      </w:r>
      <w:r w:rsidR="00E25FBC" w:rsidRPr="00F05564">
        <w:rPr>
          <w:sz w:val="24"/>
        </w:rPr>
        <w:t>projev</w:t>
      </w:r>
      <w:r w:rsidRPr="00F05564">
        <w:rPr>
          <w:sz w:val="24"/>
        </w:rPr>
        <w:t>í</w:t>
      </w:r>
      <w:r w:rsidR="00E25FBC" w:rsidRPr="00F05564">
        <w:rPr>
          <w:sz w:val="24"/>
        </w:rPr>
        <w:t xml:space="preserve"> v osvětě obyvatel ČR a v každodenních drobných úsporách energie v běžném životě informovaných občanů. Ještě větší pozitivní dopad na veřejný životní prostor očekáváme prostřednictvím osvětového působení na představitele komunální politiky.</w:t>
      </w:r>
    </w:p>
    <w:p w:rsidR="00E25FBC" w:rsidRDefault="00E25FBC" w:rsidP="00EB06AB"/>
    <w:p w:rsidR="00202646" w:rsidRDefault="00202646" w:rsidP="00EB06AB">
      <w:r>
        <w:rPr>
          <w:noProof/>
        </w:rPr>
        <w:drawing>
          <wp:inline distT="0" distB="0" distL="0" distR="0" wp14:anchorId="7EA03003" wp14:editId="625ED847">
            <wp:extent cx="5781675" cy="3067050"/>
            <wp:effectExtent l="0" t="0" r="9525" b="190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06AB" w:rsidRDefault="00EB06AB" w:rsidP="00EB06AB">
      <w:pPr>
        <w:rPr>
          <w:i/>
          <w:iCs/>
          <w:sz w:val="22"/>
        </w:rPr>
      </w:pPr>
      <w:r w:rsidRPr="002702B9">
        <w:rPr>
          <w:i/>
          <w:iCs/>
          <w:sz w:val="24"/>
        </w:rPr>
        <w:t>Graf č.</w:t>
      </w:r>
      <w:r w:rsidR="00C91794" w:rsidRPr="002702B9">
        <w:rPr>
          <w:i/>
          <w:iCs/>
          <w:sz w:val="24"/>
        </w:rPr>
        <w:t xml:space="preserve"> </w:t>
      </w:r>
      <w:r w:rsidR="00795731" w:rsidRPr="002702B9">
        <w:rPr>
          <w:i/>
          <w:iCs/>
          <w:sz w:val="24"/>
        </w:rPr>
        <w:t>8</w:t>
      </w:r>
      <w:r w:rsidRPr="002702B9">
        <w:rPr>
          <w:i/>
          <w:iCs/>
          <w:sz w:val="24"/>
        </w:rPr>
        <w:t xml:space="preserve"> – </w:t>
      </w:r>
      <w:r w:rsidR="00E97EA4" w:rsidRPr="002702B9">
        <w:rPr>
          <w:i/>
          <w:iCs/>
          <w:sz w:val="24"/>
        </w:rPr>
        <w:t>P</w:t>
      </w:r>
      <w:r w:rsidRPr="002702B9">
        <w:rPr>
          <w:i/>
          <w:iCs/>
          <w:sz w:val="24"/>
        </w:rPr>
        <w:t>rojekt</w:t>
      </w:r>
      <w:r w:rsidR="00E97EA4" w:rsidRPr="002702B9">
        <w:rPr>
          <w:i/>
          <w:iCs/>
          <w:sz w:val="24"/>
        </w:rPr>
        <w:t>y</w:t>
      </w:r>
      <w:r w:rsidRPr="002702B9">
        <w:rPr>
          <w:i/>
          <w:iCs/>
          <w:sz w:val="24"/>
        </w:rPr>
        <w:t xml:space="preserve"> s nepř</w:t>
      </w:r>
      <w:r w:rsidR="00E97EA4" w:rsidRPr="002702B9">
        <w:rPr>
          <w:i/>
          <w:iCs/>
          <w:sz w:val="24"/>
        </w:rPr>
        <w:t>ímými</w:t>
      </w:r>
      <w:r w:rsidRPr="002702B9">
        <w:rPr>
          <w:i/>
          <w:iCs/>
          <w:sz w:val="24"/>
        </w:rPr>
        <w:t xml:space="preserve"> úsporami </w:t>
      </w:r>
      <w:r w:rsidRPr="002702B9">
        <w:rPr>
          <w:i/>
          <w:iCs/>
          <w:sz w:val="22"/>
        </w:rPr>
        <w:t>dle přiz</w:t>
      </w:r>
      <w:r w:rsidR="00005D3C" w:rsidRPr="002702B9">
        <w:rPr>
          <w:i/>
          <w:iCs/>
          <w:sz w:val="22"/>
        </w:rPr>
        <w:t>nané dotace a celkových nákladů</w:t>
      </w:r>
      <w:r w:rsidRPr="002702B9">
        <w:rPr>
          <w:i/>
          <w:iCs/>
          <w:sz w:val="22"/>
        </w:rPr>
        <w:t xml:space="preserve"> (</w:t>
      </w:r>
      <w:r w:rsidR="00906253" w:rsidRPr="002702B9">
        <w:rPr>
          <w:i/>
          <w:iCs/>
          <w:sz w:val="22"/>
        </w:rPr>
        <w:t>mil</w:t>
      </w:r>
      <w:r w:rsidRPr="002702B9">
        <w:rPr>
          <w:i/>
          <w:iCs/>
          <w:sz w:val="22"/>
        </w:rPr>
        <w:t>. Kč)</w:t>
      </w:r>
    </w:p>
    <w:p w:rsidR="000E63D3" w:rsidRDefault="000E63D3" w:rsidP="00EB06AB">
      <w:pPr>
        <w:rPr>
          <w:iCs/>
          <w:sz w:val="22"/>
        </w:rPr>
      </w:pPr>
    </w:p>
    <w:p w:rsidR="00BD15CF" w:rsidRDefault="00BD15CF" w:rsidP="00EB06AB">
      <w:pPr>
        <w:rPr>
          <w:iCs/>
          <w:sz w:val="22"/>
        </w:rPr>
      </w:pPr>
    </w:p>
    <w:p w:rsidR="00BD15CF" w:rsidRPr="000E63D3" w:rsidRDefault="00BD15CF" w:rsidP="00EB06AB">
      <w:pPr>
        <w:rPr>
          <w:iCs/>
          <w:sz w:val="22"/>
        </w:rPr>
      </w:pPr>
      <w:r>
        <w:rPr>
          <w:noProof/>
        </w:rPr>
        <w:drawing>
          <wp:inline distT="0" distB="0" distL="0" distR="0" wp14:anchorId="6B9BF8ED" wp14:editId="59A993D5">
            <wp:extent cx="5760085" cy="2956591"/>
            <wp:effectExtent l="0" t="0" r="12065" b="1524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E63D3" w:rsidRDefault="000E63D3" w:rsidP="000E63D3">
      <w:pPr>
        <w:rPr>
          <w:i/>
          <w:iCs/>
          <w:sz w:val="24"/>
        </w:rPr>
      </w:pPr>
      <w:r w:rsidRPr="002702B9">
        <w:rPr>
          <w:i/>
          <w:iCs/>
          <w:sz w:val="24"/>
        </w:rPr>
        <w:t xml:space="preserve">Graf č. </w:t>
      </w:r>
      <w:r w:rsidR="00795731" w:rsidRPr="002702B9">
        <w:rPr>
          <w:i/>
          <w:iCs/>
          <w:sz w:val="24"/>
        </w:rPr>
        <w:t>9</w:t>
      </w:r>
      <w:r w:rsidRPr="002702B9">
        <w:rPr>
          <w:i/>
          <w:iCs/>
          <w:sz w:val="24"/>
        </w:rPr>
        <w:t xml:space="preserve"> – </w:t>
      </w:r>
      <w:r w:rsidR="00C9105C" w:rsidRPr="002702B9">
        <w:rPr>
          <w:i/>
          <w:iCs/>
          <w:sz w:val="24"/>
        </w:rPr>
        <w:t>Dotace podle aktivit v % z rozpočtu na neinvestiční akce</w:t>
      </w:r>
      <w:r w:rsidR="002702B9" w:rsidRPr="002702B9">
        <w:rPr>
          <w:i/>
          <w:iCs/>
          <w:sz w:val="24"/>
        </w:rPr>
        <w:t xml:space="preserve"> (mil. Kč)</w:t>
      </w:r>
    </w:p>
    <w:p w:rsidR="002C78C3" w:rsidRDefault="002C78C3" w:rsidP="000E63D3">
      <w:pPr>
        <w:rPr>
          <w:i/>
          <w:iCs/>
          <w:sz w:val="24"/>
        </w:rPr>
      </w:pPr>
    </w:p>
    <w:p w:rsidR="009D5AAC" w:rsidRPr="002702B9" w:rsidRDefault="00581D57" w:rsidP="002702B9">
      <w:pPr>
        <w:spacing w:after="120"/>
        <w:jc w:val="both"/>
        <w:rPr>
          <w:sz w:val="24"/>
          <w:szCs w:val="24"/>
        </w:rPr>
      </w:pPr>
      <w:r w:rsidRPr="002702B9">
        <w:rPr>
          <w:sz w:val="24"/>
          <w:szCs w:val="24"/>
        </w:rPr>
        <w:t>Největší</w:t>
      </w:r>
      <w:r w:rsidR="00554772" w:rsidRPr="002702B9">
        <w:rPr>
          <w:sz w:val="24"/>
          <w:szCs w:val="24"/>
        </w:rPr>
        <w:t xml:space="preserve"> část dotací programu EFEKT 201</w:t>
      </w:r>
      <w:r w:rsidR="00DB1ECB" w:rsidRPr="002702B9">
        <w:rPr>
          <w:sz w:val="24"/>
          <w:szCs w:val="24"/>
        </w:rPr>
        <w:t>3</w:t>
      </w:r>
      <w:r w:rsidRPr="002702B9">
        <w:rPr>
          <w:sz w:val="24"/>
          <w:szCs w:val="24"/>
        </w:rPr>
        <w:t xml:space="preserve"> (</w:t>
      </w:r>
      <w:r w:rsidR="00A97FF7" w:rsidRPr="002702B9">
        <w:rPr>
          <w:sz w:val="24"/>
          <w:szCs w:val="24"/>
        </w:rPr>
        <w:t>73</w:t>
      </w:r>
      <w:r w:rsidRPr="002702B9">
        <w:rPr>
          <w:sz w:val="24"/>
          <w:szCs w:val="24"/>
        </w:rPr>
        <w:t>%</w:t>
      </w:r>
      <w:r w:rsidR="00D60B7B" w:rsidRPr="002702B9">
        <w:rPr>
          <w:sz w:val="24"/>
          <w:szCs w:val="24"/>
        </w:rPr>
        <w:t xml:space="preserve"> rozpočtu</w:t>
      </w:r>
      <w:r w:rsidRPr="002702B9">
        <w:rPr>
          <w:sz w:val="24"/>
          <w:szCs w:val="24"/>
        </w:rPr>
        <w:t xml:space="preserve">) byla vložena do podpory neinvestičních projektů s nepřímou úsporou energie </w:t>
      </w:r>
      <w:r w:rsidRPr="002702B9">
        <w:rPr>
          <w:i/>
          <w:iCs/>
          <w:sz w:val="24"/>
          <w:szCs w:val="24"/>
        </w:rPr>
        <w:t>(</w:t>
      </w:r>
      <w:r w:rsidR="00A97FF7" w:rsidRPr="002702B9">
        <w:rPr>
          <w:i/>
          <w:iCs/>
          <w:sz w:val="24"/>
          <w:szCs w:val="24"/>
        </w:rPr>
        <w:t>g</w:t>
      </w:r>
      <w:r w:rsidRPr="002702B9">
        <w:rPr>
          <w:i/>
          <w:iCs/>
          <w:sz w:val="24"/>
          <w:szCs w:val="24"/>
        </w:rPr>
        <w:t xml:space="preserve">raf č. </w:t>
      </w:r>
      <w:r w:rsidR="00554772" w:rsidRPr="002702B9">
        <w:rPr>
          <w:i/>
          <w:iCs/>
          <w:sz w:val="24"/>
          <w:szCs w:val="24"/>
        </w:rPr>
        <w:t>1)</w:t>
      </w:r>
      <w:r w:rsidRPr="002702B9">
        <w:rPr>
          <w:i/>
          <w:iCs/>
          <w:sz w:val="24"/>
          <w:szCs w:val="24"/>
        </w:rPr>
        <w:t>.</w:t>
      </w:r>
      <w:r w:rsidR="00AE12A9" w:rsidRPr="002702B9">
        <w:rPr>
          <w:sz w:val="24"/>
          <w:szCs w:val="24"/>
        </w:rPr>
        <w:t xml:space="preserve"> </w:t>
      </w:r>
      <w:r w:rsidR="00A97FF7" w:rsidRPr="002702B9">
        <w:rPr>
          <w:sz w:val="24"/>
          <w:szCs w:val="24"/>
        </w:rPr>
        <w:t xml:space="preserve">Je zřejmé </w:t>
      </w:r>
      <w:r w:rsidR="00A97FF7" w:rsidRPr="002702B9">
        <w:rPr>
          <w:i/>
          <w:sz w:val="24"/>
          <w:szCs w:val="24"/>
        </w:rPr>
        <w:t xml:space="preserve">(graf č. </w:t>
      </w:r>
      <w:r w:rsidR="00942922" w:rsidRPr="002702B9">
        <w:rPr>
          <w:i/>
          <w:sz w:val="24"/>
          <w:szCs w:val="24"/>
        </w:rPr>
        <w:t>9</w:t>
      </w:r>
      <w:r w:rsidR="00A97FF7" w:rsidRPr="002702B9">
        <w:rPr>
          <w:i/>
          <w:sz w:val="24"/>
          <w:szCs w:val="24"/>
        </w:rPr>
        <w:t>)</w:t>
      </w:r>
      <w:r w:rsidRPr="002702B9">
        <w:rPr>
          <w:i/>
          <w:sz w:val="24"/>
          <w:szCs w:val="24"/>
        </w:rPr>
        <w:t>,</w:t>
      </w:r>
      <w:r w:rsidRPr="002702B9">
        <w:rPr>
          <w:sz w:val="24"/>
          <w:szCs w:val="24"/>
        </w:rPr>
        <w:t xml:space="preserve"> že  </w:t>
      </w:r>
      <w:r w:rsidR="00005D3C" w:rsidRPr="002702B9">
        <w:rPr>
          <w:sz w:val="24"/>
          <w:szCs w:val="24"/>
        </w:rPr>
        <w:t>finančně</w:t>
      </w:r>
      <w:r w:rsidRPr="002702B9">
        <w:rPr>
          <w:sz w:val="24"/>
          <w:szCs w:val="24"/>
        </w:rPr>
        <w:t xml:space="preserve"> byly nejvíce podpořeny aktivity v oblasti propagace (</w:t>
      </w:r>
      <w:proofErr w:type="gramStart"/>
      <w:r w:rsidR="0069082E" w:rsidRPr="002702B9">
        <w:rPr>
          <w:sz w:val="24"/>
          <w:szCs w:val="24"/>
        </w:rPr>
        <w:t>4</w:t>
      </w:r>
      <w:r w:rsidR="00A97FF7" w:rsidRPr="002702B9">
        <w:rPr>
          <w:sz w:val="24"/>
          <w:szCs w:val="24"/>
        </w:rPr>
        <w:t>1</w:t>
      </w:r>
      <w:r w:rsidRPr="002702B9">
        <w:rPr>
          <w:sz w:val="24"/>
          <w:szCs w:val="24"/>
        </w:rPr>
        <w:t>%</w:t>
      </w:r>
      <w:r w:rsidR="00D60B7B" w:rsidRPr="002702B9">
        <w:rPr>
          <w:sz w:val="24"/>
          <w:szCs w:val="24"/>
        </w:rPr>
        <w:t xml:space="preserve"> </w:t>
      </w:r>
      <w:r w:rsidR="00A97FF7" w:rsidRPr="002702B9">
        <w:rPr>
          <w:sz w:val="24"/>
          <w:szCs w:val="24"/>
        </w:rPr>
        <w:t xml:space="preserve"> </w:t>
      </w:r>
      <w:r w:rsidR="00D60B7B" w:rsidRPr="002702B9">
        <w:rPr>
          <w:sz w:val="24"/>
          <w:szCs w:val="24"/>
        </w:rPr>
        <w:t>rozpočtu</w:t>
      </w:r>
      <w:proofErr w:type="gramEnd"/>
      <w:r w:rsidR="00A97FF7" w:rsidRPr="002702B9">
        <w:rPr>
          <w:sz w:val="24"/>
          <w:szCs w:val="24"/>
        </w:rPr>
        <w:t xml:space="preserve"> na publikace a příručky, 16% na kurzy a semináře</w:t>
      </w:r>
      <w:r w:rsidRPr="002702B9">
        <w:rPr>
          <w:sz w:val="24"/>
          <w:szCs w:val="24"/>
        </w:rPr>
        <w:t>)</w:t>
      </w:r>
      <w:r w:rsidR="00A97FF7" w:rsidRPr="002702B9">
        <w:rPr>
          <w:sz w:val="24"/>
          <w:szCs w:val="24"/>
        </w:rPr>
        <w:t>. Bezplatné energetické p</w:t>
      </w:r>
      <w:r w:rsidR="00181613" w:rsidRPr="002702B9">
        <w:rPr>
          <w:sz w:val="24"/>
          <w:szCs w:val="24"/>
        </w:rPr>
        <w:t xml:space="preserve">oradenství </w:t>
      </w:r>
      <w:r w:rsidR="00A97FF7" w:rsidRPr="002702B9">
        <w:rPr>
          <w:sz w:val="24"/>
          <w:szCs w:val="24"/>
        </w:rPr>
        <w:t>získalo 31</w:t>
      </w:r>
      <w:r w:rsidRPr="002702B9">
        <w:rPr>
          <w:sz w:val="24"/>
          <w:szCs w:val="24"/>
        </w:rPr>
        <w:t>%</w:t>
      </w:r>
      <w:r w:rsidR="00D60B7B" w:rsidRPr="002702B9">
        <w:rPr>
          <w:sz w:val="24"/>
          <w:szCs w:val="24"/>
        </w:rPr>
        <w:t xml:space="preserve"> rozpočtu</w:t>
      </w:r>
      <w:r w:rsidRPr="002702B9">
        <w:rPr>
          <w:sz w:val="24"/>
          <w:szCs w:val="24"/>
        </w:rPr>
        <w:t>.</w:t>
      </w:r>
      <w:r w:rsidR="00A91F8B" w:rsidRPr="002702B9">
        <w:rPr>
          <w:sz w:val="24"/>
          <w:szCs w:val="24"/>
        </w:rPr>
        <w:t xml:space="preserve"> </w:t>
      </w:r>
    </w:p>
    <w:p w:rsidR="00581D57" w:rsidRPr="00D26BFF" w:rsidRDefault="009D5AAC" w:rsidP="002702B9">
      <w:pPr>
        <w:pStyle w:val="Zkladntextodsazen2"/>
        <w:spacing w:after="120"/>
        <w:ind w:firstLine="0"/>
        <w:rPr>
          <w:szCs w:val="24"/>
        </w:rPr>
      </w:pPr>
      <w:r w:rsidRPr="00D26BFF">
        <w:rPr>
          <w:szCs w:val="24"/>
        </w:rPr>
        <w:t>Neinvestiční p</w:t>
      </w:r>
      <w:r w:rsidR="00A91F8B" w:rsidRPr="00D26BFF">
        <w:rPr>
          <w:szCs w:val="24"/>
        </w:rPr>
        <w:t xml:space="preserve">rojekty </w:t>
      </w:r>
      <w:r w:rsidR="00581D57" w:rsidRPr="00D26BFF">
        <w:rPr>
          <w:szCs w:val="24"/>
        </w:rPr>
        <w:t xml:space="preserve">přinesly celkové investice </w:t>
      </w:r>
      <w:r w:rsidR="009465CE">
        <w:rPr>
          <w:szCs w:val="24"/>
        </w:rPr>
        <w:t>necelých</w:t>
      </w:r>
      <w:r w:rsidR="00581D57" w:rsidRPr="00D26BFF">
        <w:rPr>
          <w:szCs w:val="24"/>
        </w:rPr>
        <w:t xml:space="preserve"> </w:t>
      </w:r>
      <w:r w:rsidR="0069082E" w:rsidRPr="00D26BFF">
        <w:rPr>
          <w:szCs w:val="24"/>
        </w:rPr>
        <w:t>2</w:t>
      </w:r>
      <w:r w:rsidRPr="00D26BFF">
        <w:rPr>
          <w:szCs w:val="24"/>
        </w:rPr>
        <w:t>2,2</w:t>
      </w:r>
      <w:r w:rsidR="00581D57" w:rsidRPr="00D26BFF">
        <w:rPr>
          <w:szCs w:val="24"/>
        </w:rPr>
        <w:t> miliónů Kč</w:t>
      </w:r>
      <w:r w:rsidR="00C3370A" w:rsidRPr="00D26BFF">
        <w:rPr>
          <w:szCs w:val="24"/>
        </w:rPr>
        <w:t xml:space="preserve"> </w:t>
      </w:r>
      <w:r w:rsidR="00C3370A" w:rsidRPr="00D26BFF">
        <w:rPr>
          <w:i/>
          <w:szCs w:val="24"/>
        </w:rPr>
        <w:t xml:space="preserve">(graf č. </w:t>
      </w:r>
      <w:r w:rsidR="00942922" w:rsidRPr="00D26BFF">
        <w:rPr>
          <w:i/>
          <w:szCs w:val="24"/>
        </w:rPr>
        <w:t>8</w:t>
      </w:r>
      <w:r w:rsidR="00C3370A" w:rsidRPr="00D26BFF">
        <w:rPr>
          <w:i/>
          <w:szCs w:val="24"/>
        </w:rPr>
        <w:t>)</w:t>
      </w:r>
      <w:r w:rsidR="00A91F8B" w:rsidRPr="00D26BFF">
        <w:rPr>
          <w:szCs w:val="24"/>
        </w:rPr>
        <w:t>.</w:t>
      </w:r>
      <w:r w:rsidR="0069082E" w:rsidRPr="00D26BFF">
        <w:rPr>
          <w:szCs w:val="24"/>
        </w:rPr>
        <w:t xml:space="preserve"> </w:t>
      </w:r>
      <w:r w:rsidRPr="00D26BFF">
        <w:rPr>
          <w:szCs w:val="24"/>
        </w:rPr>
        <w:t>To není o</w:t>
      </w:r>
      <w:r w:rsidR="00D26BFF" w:rsidRPr="00D26BFF">
        <w:rPr>
          <w:szCs w:val="24"/>
        </w:rPr>
        <w:t> </w:t>
      </w:r>
      <w:r w:rsidRPr="00D26BFF">
        <w:rPr>
          <w:szCs w:val="24"/>
        </w:rPr>
        <w:t>mnoho více, než je poskytnutá dotace</w:t>
      </w:r>
      <w:r w:rsidR="00D26BFF" w:rsidRPr="00D26BFF">
        <w:rPr>
          <w:szCs w:val="24"/>
        </w:rPr>
        <w:t>.</w:t>
      </w:r>
      <w:r w:rsidRPr="00D26BFF">
        <w:rPr>
          <w:szCs w:val="24"/>
        </w:rPr>
        <w:t xml:space="preserve"> </w:t>
      </w:r>
      <w:r w:rsidR="00D26BFF" w:rsidRPr="00D26BFF">
        <w:rPr>
          <w:szCs w:val="24"/>
        </w:rPr>
        <w:t xml:space="preserve">Toto srovnání je důsledkem nastavení programu EFEKT 2013. Ze znění programu vyplývá, že v neinvestičních oblastech je až na jednu výjimku maximální % pokrytí z dotace na úrovní 80 - 100 % celkových nákladů. </w:t>
      </w:r>
      <w:r w:rsidRPr="00D26BFF">
        <w:rPr>
          <w:szCs w:val="24"/>
        </w:rPr>
        <w:t>Například b</w:t>
      </w:r>
      <w:r w:rsidR="0069082E" w:rsidRPr="00D26BFF">
        <w:rPr>
          <w:szCs w:val="24"/>
        </w:rPr>
        <w:t xml:space="preserve">ezplatné energetické poradenství je dotováno </w:t>
      </w:r>
      <w:proofErr w:type="gramStart"/>
      <w:r w:rsidR="000D42BF" w:rsidRPr="00D26BFF">
        <w:rPr>
          <w:szCs w:val="24"/>
        </w:rPr>
        <w:t>ze</w:t>
      </w:r>
      <w:proofErr w:type="gramEnd"/>
      <w:r w:rsidR="000D42BF" w:rsidRPr="00D26BFF">
        <w:rPr>
          <w:szCs w:val="24"/>
        </w:rPr>
        <w:t xml:space="preserve"> </w:t>
      </w:r>
      <w:r w:rsidR="0069082E" w:rsidRPr="00D26BFF">
        <w:rPr>
          <w:szCs w:val="24"/>
        </w:rPr>
        <w:t>100%.</w:t>
      </w:r>
    </w:p>
    <w:p w:rsidR="00581D57" w:rsidRPr="00D8633B" w:rsidRDefault="00581D57" w:rsidP="002702B9">
      <w:pPr>
        <w:spacing w:after="120"/>
        <w:jc w:val="both"/>
        <w:rPr>
          <w:sz w:val="24"/>
        </w:rPr>
      </w:pPr>
    </w:p>
    <w:p w:rsidR="00D8633B" w:rsidRPr="002702B9" w:rsidRDefault="00D8633B" w:rsidP="00E04454">
      <w:pPr>
        <w:pStyle w:val="Nadpis3"/>
        <w:spacing w:before="0" w:after="120" w:afterAutospacing="0"/>
        <w:rPr>
          <w:rFonts w:eastAsia="Arial Unicode MS"/>
          <w:color w:val="auto"/>
          <w:szCs w:val="24"/>
        </w:rPr>
      </w:pPr>
      <w:bookmarkStart w:id="8" w:name="_Toc388021632"/>
      <w:bookmarkStart w:id="9" w:name="_Toc388021757"/>
      <w:r w:rsidRPr="002702B9">
        <w:rPr>
          <w:color w:val="auto"/>
          <w:szCs w:val="24"/>
        </w:rPr>
        <w:t>V oblasti plán úspor byly vypsány aktivity a podpořeny projekty:</w:t>
      </w:r>
      <w:bookmarkEnd w:id="8"/>
      <w:bookmarkEnd w:id="9"/>
    </w:p>
    <w:p w:rsidR="00D8633B" w:rsidRPr="002702B9" w:rsidRDefault="00D8633B" w:rsidP="00877131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</w:rPr>
      </w:pPr>
      <w:r w:rsidRPr="002702B9">
        <w:rPr>
          <w:rFonts w:ascii="Times New Roman" w:hAnsi="Times New Roman"/>
          <w:sz w:val="24"/>
        </w:rPr>
        <w:t>Energetický audit – bylo podpořeno 6 projektů. Tato aktivita nepřinesla očekávaný zájem nejmenších obcí a v roce 2014 již vypsána není.</w:t>
      </w:r>
    </w:p>
    <w:p w:rsidR="00D8633B" w:rsidRPr="00877131" w:rsidRDefault="00BB1ACD" w:rsidP="00877131">
      <w:pPr>
        <w:tabs>
          <w:tab w:val="left" w:pos="0"/>
          <w:tab w:val="left" w:pos="567"/>
          <w:tab w:val="left" w:pos="851"/>
        </w:tabs>
        <w:spacing w:after="120"/>
        <w:jc w:val="both"/>
        <w:rPr>
          <w:b/>
          <w:sz w:val="24"/>
          <w:szCs w:val="24"/>
        </w:rPr>
      </w:pPr>
      <w:r w:rsidRPr="00877131">
        <w:rPr>
          <w:b/>
          <w:bCs/>
          <w:sz w:val="24"/>
          <w:szCs w:val="24"/>
        </w:rPr>
        <w:t xml:space="preserve">V </w:t>
      </w:r>
      <w:r w:rsidRPr="00877131">
        <w:rPr>
          <w:b/>
          <w:sz w:val="24"/>
          <w:szCs w:val="24"/>
        </w:rPr>
        <w:t>oblasti energetického poradenství byly vypsány aktivity a podpořeny projekty:</w:t>
      </w:r>
    </w:p>
    <w:p w:rsidR="004772A3" w:rsidRPr="00877131" w:rsidRDefault="00581D57" w:rsidP="00877131">
      <w:pPr>
        <w:pStyle w:val="Odstavecseseznamem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after="120"/>
        <w:ind w:left="0" w:firstLine="0"/>
        <w:jc w:val="both"/>
        <w:rPr>
          <w:rFonts w:ascii="Times New Roman" w:hAnsi="Times New Roman"/>
          <w:sz w:val="24"/>
        </w:rPr>
      </w:pPr>
      <w:r w:rsidRPr="00877131">
        <w:rPr>
          <w:rFonts w:ascii="Times New Roman" w:hAnsi="Times New Roman"/>
          <w:iCs/>
          <w:sz w:val="24"/>
          <w:szCs w:val="24"/>
        </w:rPr>
        <w:t>Energetické konzultační a informační středisko (dále jen EKIS)</w:t>
      </w:r>
      <w:r w:rsidR="00BB1ACD" w:rsidRPr="00877131">
        <w:rPr>
          <w:rFonts w:ascii="Times New Roman" w:hAnsi="Times New Roman"/>
          <w:iCs/>
          <w:sz w:val="24"/>
          <w:szCs w:val="24"/>
        </w:rPr>
        <w:t xml:space="preserve"> </w:t>
      </w:r>
      <w:r w:rsidR="004772A3" w:rsidRPr="00877131">
        <w:rPr>
          <w:rFonts w:ascii="Times New Roman" w:hAnsi="Times New Roman"/>
          <w:iCs/>
          <w:sz w:val="24"/>
          <w:szCs w:val="24"/>
        </w:rPr>
        <w:t xml:space="preserve">- </w:t>
      </w:r>
      <w:r w:rsidR="004772A3" w:rsidRPr="00877131">
        <w:rPr>
          <w:rFonts w:ascii="Times New Roman" w:hAnsi="Times New Roman"/>
          <w:sz w:val="24"/>
          <w:szCs w:val="24"/>
        </w:rPr>
        <w:t xml:space="preserve">statut EKIS pro rok 2013 byl přiznán 47 subjektům s ohledem na rozložení poradenské sítě v rámci celé ČR. V roce 2013 pracovalo v síti EKIS 206 poradců. </w:t>
      </w:r>
      <w:r w:rsidR="004772A3" w:rsidRPr="00877131">
        <w:rPr>
          <w:rFonts w:ascii="Times New Roman" w:hAnsi="Times New Roman"/>
          <w:sz w:val="24"/>
        </w:rPr>
        <w:t xml:space="preserve">Celkem bylo zodpovězeno 7,1 tisíce dotazů (z toho 6,3 tisíce osobně a 800 prostřednictvím on-line poradny). Dotazy tazatelů směřovaly nejčastěji do oblasti energetických průkazů, zateplování objektů, vytápění, dotací apod. Poradna EKIS se těší vzrůstající oblibě. </w:t>
      </w:r>
    </w:p>
    <w:p w:rsidR="00581D57" w:rsidRPr="002702B9" w:rsidRDefault="004772A3" w:rsidP="00E04454">
      <w:pPr>
        <w:spacing w:after="120"/>
        <w:jc w:val="both"/>
        <w:rPr>
          <w:sz w:val="24"/>
        </w:rPr>
      </w:pPr>
      <w:r w:rsidRPr="002702B9">
        <w:rPr>
          <w:sz w:val="24"/>
        </w:rPr>
        <w:t xml:space="preserve">Trvale uspokojivá je také návštěvnost webového portálu MPO, kde je k dispozici on-line energetická poradna a kde se zájemci mohou seznámit mj. s nejrůznějšími informacemi o úsporách energie včetně dotačních programů, které se této oblasti týkají. </w:t>
      </w:r>
    </w:p>
    <w:p w:rsidR="005D4EBA" w:rsidRPr="002702B9" w:rsidRDefault="004772A3" w:rsidP="00E04454">
      <w:pPr>
        <w:spacing w:after="120"/>
        <w:jc w:val="both"/>
        <w:rPr>
          <w:sz w:val="24"/>
        </w:rPr>
      </w:pPr>
      <w:r w:rsidRPr="002702B9">
        <w:rPr>
          <w:sz w:val="24"/>
          <w:szCs w:val="24"/>
        </w:rPr>
        <w:t>P</w:t>
      </w:r>
      <w:r w:rsidR="00581D57" w:rsidRPr="002702B9">
        <w:rPr>
          <w:sz w:val="24"/>
        </w:rPr>
        <w:t>oradens</w:t>
      </w:r>
      <w:r w:rsidRPr="002702B9">
        <w:rPr>
          <w:sz w:val="24"/>
        </w:rPr>
        <w:t>ká</w:t>
      </w:r>
      <w:r w:rsidR="00581D57" w:rsidRPr="002702B9">
        <w:rPr>
          <w:sz w:val="24"/>
        </w:rPr>
        <w:t xml:space="preserve"> </w:t>
      </w:r>
      <w:r w:rsidRPr="002702B9">
        <w:rPr>
          <w:sz w:val="24"/>
        </w:rPr>
        <w:t xml:space="preserve">síť </w:t>
      </w:r>
      <w:r w:rsidR="00581D57" w:rsidRPr="002702B9">
        <w:rPr>
          <w:sz w:val="24"/>
        </w:rPr>
        <w:t xml:space="preserve">pro veřejnost </w:t>
      </w:r>
      <w:r w:rsidR="008B50AF" w:rsidRPr="002702B9">
        <w:rPr>
          <w:sz w:val="24"/>
        </w:rPr>
        <w:t>EKIS</w:t>
      </w:r>
      <w:r w:rsidRPr="002702B9">
        <w:rPr>
          <w:sz w:val="24"/>
        </w:rPr>
        <w:t xml:space="preserve"> </w:t>
      </w:r>
      <w:r w:rsidR="00581D57" w:rsidRPr="002702B9">
        <w:rPr>
          <w:sz w:val="24"/>
        </w:rPr>
        <w:t>se každoročně aktualizuje</w:t>
      </w:r>
      <w:r w:rsidRPr="002702B9">
        <w:rPr>
          <w:sz w:val="24"/>
        </w:rPr>
        <w:t xml:space="preserve"> a je v</w:t>
      </w:r>
      <w:r w:rsidRPr="002702B9">
        <w:rPr>
          <w:sz w:val="24"/>
          <w:szCs w:val="24"/>
        </w:rPr>
        <w:t xml:space="preserve">ýznamnou součástí Programu EFEKT. </w:t>
      </w:r>
      <w:r w:rsidR="008B50AF" w:rsidRPr="002702B9">
        <w:rPr>
          <w:sz w:val="24"/>
        </w:rPr>
        <w:t xml:space="preserve">Systém </w:t>
      </w:r>
      <w:r w:rsidR="008B50AF" w:rsidRPr="002702B9">
        <w:rPr>
          <w:bCs/>
          <w:sz w:val="24"/>
        </w:rPr>
        <w:t>bezplatného energetického poradenství</w:t>
      </w:r>
      <w:r w:rsidR="008B50AF" w:rsidRPr="002702B9">
        <w:rPr>
          <w:sz w:val="24"/>
        </w:rPr>
        <w:t xml:space="preserve"> probíhá nejen osobně ve</w:t>
      </w:r>
      <w:r w:rsidRPr="002702B9">
        <w:rPr>
          <w:sz w:val="24"/>
        </w:rPr>
        <w:t> </w:t>
      </w:r>
      <w:r w:rsidR="008B50AF" w:rsidRPr="002702B9">
        <w:rPr>
          <w:sz w:val="24"/>
        </w:rPr>
        <w:t>střediscích po</w:t>
      </w:r>
      <w:r w:rsidR="001C3F8B" w:rsidRPr="002702B9">
        <w:rPr>
          <w:sz w:val="24"/>
        </w:rPr>
        <w:t> </w:t>
      </w:r>
      <w:r w:rsidR="008B50AF" w:rsidRPr="002702B9">
        <w:rPr>
          <w:sz w:val="24"/>
        </w:rPr>
        <w:t xml:space="preserve">celé republice, ale také prostřednictvím on-line poradny. Výhody on-line poradny mohou tazatelé využít </w:t>
      </w:r>
      <w:r w:rsidR="001C3F8B" w:rsidRPr="002702B9">
        <w:rPr>
          <w:sz w:val="24"/>
        </w:rPr>
        <w:t>na</w:t>
      </w:r>
      <w:r w:rsidR="008B50AF" w:rsidRPr="002702B9">
        <w:rPr>
          <w:sz w:val="24"/>
        </w:rPr>
        <w:t xml:space="preserve"> webové</w:t>
      </w:r>
      <w:r w:rsidR="001C3F8B" w:rsidRPr="002702B9">
        <w:rPr>
          <w:sz w:val="24"/>
        </w:rPr>
        <w:t>m</w:t>
      </w:r>
      <w:r w:rsidR="008B50AF" w:rsidRPr="002702B9">
        <w:rPr>
          <w:sz w:val="24"/>
        </w:rPr>
        <w:t xml:space="preserve"> portálu MPO </w:t>
      </w:r>
      <w:hyperlink r:id="rId18" w:history="1">
        <w:r w:rsidR="008B50AF" w:rsidRPr="002702B9">
          <w:rPr>
            <w:rStyle w:val="Hypertextovodkaz"/>
            <w:color w:val="auto"/>
            <w:sz w:val="24"/>
          </w:rPr>
          <w:t>www.mpo-efekt.cz</w:t>
        </w:r>
      </w:hyperlink>
      <w:r w:rsidR="008B50AF" w:rsidRPr="002702B9">
        <w:rPr>
          <w:sz w:val="24"/>
        </w:rPr>
        <w:t xml:space="preserve">. </w:t>
      </w:r>
    </w:p>
    <w:p w:rsidR="00581D57" w:rsidRPr="002702B9" w:rsidRDefault="00D95826" w:rsidP="00E04454">
      <w:pPr>
        <w:pStyle w:val="Nadpis3"/>
        <w:spacing w:before="0" w:after="120" w:afterAutospacing="0"/>
        <w:rPr>
          <w:rFonts w:eastAsia="Arial Unicode MS"/>
          <w:color w:val="auto"/>
          <w:szCs w:val="24"/>
        </w:rPr>
      </w:pPr>
      <w:bookmarkStart w:id="10" w:name="_Toc388021633"/>
      <w:bookmarkStart w:id="11" w:name="_Toc388021758"/>
      <w:r w:rsidRPr="002702B9">
        <w:rPr>
          <w:color w:val="auto"/>
          <w:szCs w:val="24"/>
        </w:rPr>
        <w:t>V o</w:t>
      </w:r>
      <w:r w:rsidR="00581D57" w:rsidRPr="002702B9">
        <w:rPr>
          <w:color w:val="auto"/>
          <w:szCs w:val="24"/>
        </w:rPr>
        <w:t>blast</w:t>
      </w:r>
      <w:r w:rsidRPr="002702B9">
        <w:rPr>
          <w:color w:val="auto"/>
          <w:szCs w:val="24"/>
        </w:rPr>
        <w:t>i</w:t>
      </w:r>
      <w:r w:rsidR="00581D57" w:rsidRPr="002702B9">
        <w:rPr>
          <w:color w:val="auto"/>
          <w:szCs w:val="24"/>
        </w:rPr>
        <w:t xml:space="preserve"> vzdělávání a propagace</w:t>
      </w:r>
      <w:r w:rsidRPr="002702B9">
        <w:rPr>
          <w:color w:val="auto"/>
          <w:szCs w:val="24"/>
        </w:rPr>
        <w:t xml:space="preserve"> </w:t>
      </w:r>
      <w:r w:rsidRPr="002702B9">
        <w:rPr>
          <w:szCs w:val="24"/>
        </w:rPr>
        <w:t>byly vypsány aktivity a podpořeny projekty:</w:t>
      </w:r>
      <w:bookmarkEnd w:id="10"/>
      <w:bookmarkEnd w:id="11"/>
    </w:p>
    <w:p w:rsidR="0043579B" w:rsidRPr="002702B9" w:rsidRDefault="00581D57" w:rsidP="00E04454">
      <w:pPr>
        <w:pStyle w:val="Nadpis4"/>
        <w:numPr>
          <w:ilvl w:val="0"/>
          <w:numId w:val="3"/>
        </w:numPr>
        <w:tabs>
          <w:tab w:val="clear" w:pos="1068"/>
          <w:tab w:val="num" w:pos="284"/>
        </w:tabs>
        <w:spacing w:after="120" w:afterAutospacing="0"/>
        <w:ind w:left="0" w:firstLine="0"/>
        <w:rPr>
          <w:b w:val="0"/>
          <w:i w:val="0"/>
        </w:rPr>
      </w:pPr>
      <w:r w:rsidRPr="002702B9">
        <w:rPr>
          <w:b w:val="0"/>
          <w:i w:val="0"/>
          <w:iCs w:val="0"/>
          <w:color w:val="auto"/>
        </w:rPr>
        <w:t xml:space="preserve">Výstava, kurz, seminář, konference v oblasti energetiky </w:t>
      </w:r>
      <w:r w:rsidR="0043579B" w:rsidRPr="002702B9">
        <w:rPr>
          <w:b w:val="0"/>
          <w:i w:val="0"/>
          <w:iCs w:val="0"/>
          <w:color w:val="auto"/>
        </w:rPr>
        <w:t xml:space="preserve"> -  b</w:t>
      </w:r>
      <w:r w:rsidRPr="002702B9">
        <w:rPr>
          <w:b w:val="0"/>
          <w:i w:val="0"/>
        </w:rPr>
        <w:t xml:space="preserve">ylo podpořeno celkem </w:t>
      </w:r>
      <w:r w:rsidR="00C61597" w:rsidRPr="002702B9">
        <w:rPr>
          <w:b w:val="0"/>
          <w:i w:val="0"/>
        </w:rPr>
        <w:t>3</w:t>
      </w:r>
      <w:r w:rsidR="0043579B" w:rsidRPr="002702B9">
        <w:rPr>
          <w:b w:val="0"/>
          <w:i w:val="0"/>
        </w:rPr>
        <w:t>3</w:t>
      </w:r>
      <w:r w:rsidR="00FE2E3F" w:rsidRPr="002702B9">
        <w:rPr>
          <w:b w:val="0"/>
          <w:i w:val="0"/>
        </w:rPr>
        <w:t> </w:t>
      </w:r>
      <w:r w:rsidRPr="002702B9">
        <w:rPr>
          <w:b w:val="0"/>
          <w:i w:val="0"/>
        </w:rPr>
        <w:t>odborných v</w:t>
      </w:r>
      <w:r w:rsidR="00B064E6" w:rsidRPr="002702B9">
        <w:rPr>
          <w:b w:val="0"/>
          <w:i w:val="0"/>
        </w:rPr>
        <w:t xml:space="preserve">zdělávacích a propagačních akcí, které navštívilo </w:t>
      </w:r>
      <w:r w:rsidR="00842F1E" w:rsidRPr="002702B9">
        <w:rPr>
          <w:b w:val="0"/>
          <w:i w:val="0"/>
        </w:rPr>
        <w:t>několik tisíc</w:t>
      </w:r>
      <w:r w:rsidR="00B064E6" w:rsidRPr="002702B9">
        <w:rPr>
          <w:b w:val="0"/>
          <w:i w:val="0"/>
        </w:rPr>
        <w:t xml:space="preserve"> posluchačů.</w:t>
      </w:r>
      <w:r w:rsidRPr="002702B9">
        <w:rPr>
          <w:b w:val="0"/>
          <w:i w:val="0"/>
        </w:rPr>
        <w:t xml:space="preserve"> </w:t>
      </w:r>
      <w:r w:rsidR="00A86B8E" w:rsidRPr="002702B9">
        <w:rPr>
          <w:b w:val="0"/>
          <w:i w:val="0"/>
        </w:rPr>
        <w:t xml:space="preserve">Byly podpořeny akce s různorodou tématikou v oblasti úspor energie, např. </w:t>
      </w:r>
      <w:r w:rsidR="00842F1E" w:rsidRPr="002702B9">
        <w:rPr>
          <w:b w:val="0"/>
          <w:i w:val="0"/>
        </w:rPr>
        <w:t xml:space="preserve">zateplování, kombinovaná výroba tepla a energie, </w:t>
      </w:r>
      <w:r w:rsidRPr="002702B9">
        <w:rPr>
          <w:b w:val="0"/>
          <w:i w:val="0"/>
        </w:rPr>
        <w:t>úspory energie v</w:t>
      </w:r>
      <w:r w:rsidR="00A86B8E" w:rsidRPr="002702B9">
        <w:rPr>
          <w:b w:val="0"/>
          <w:i w:val="0"/>
        </w:rPr>
        <w:t> </w:t>
      </w:r>
      <w:r w:rsidRPr="002702B9">
        <w:rPr>
          <w:b w:val="0"/>
          <w:i w:val="0"/>
        </w:rPr>
        <w:t>budovách</w:t>
      </w:r>
      <w:r w:rsidR="00A86B8E" w:rsidRPr="002702B9">
        <w:rPr>
          <w:b w:val="0"/>
          <w:i w:val="0"/>
        </w:rPr>
        <w:t>,</w:t>
      </w:r>
      <w:r w:rsidR="00842F1E" w:rsidRPr="002702B9">
        <w:rPr>
          <w:b w:val="0"/>
          <w:i w:val="0"/>
        </w:rPr>
        <w:t xml:space="preserve"> </w:t>
      </w:r>
      <w:r w:rsidRPr="002702B9">
        <w:rPr>
          <w:b w:val="0"/>
          <w:i w:val="0"/>
        </w:rPr>
        <w:t>financování úsporných opatření</w:t>
      </w:r>
      <w:r w:rsidR="00A86B8E" w:rsidRPr="002702B9">
        <w:rPr>
          <w:b w:val="0"/>
          <w:i w:val="0"/>
        </w:rPr>
        <w:t>.</w:t>
      </w:r>
    </w:p>
    <w:p w:rsidR="00A86B8E" w:rsidRPr="002702B9" w:rsidRDefault="00581D57" w:rsidP="00E04454">
      <w:pPr>
        <w:pStyle w:val="Nadpis4"/>
        <w:numPr>
          <w:ilvl w:val="0"/>
          <w:numId w:val="3"/>
        </w:numPr>
        <w:tabs>
          <w:tab w:val="clear" w:pos="1068"/>
          <w:tab w:val="num" w:pos="284"/>
          <w:tab w:val="left" w:pos="709"/>
        </w:tabs>
        <w:spacing w:after="120" w:afterAutospacing="0"/>
        <w:ind w:left="0" w:firstLine="0"/>
        <w:rPr>
          <w:b w:val="0"/>
          <w:i w:val="0"/>
        </w:rPr>
      </w:pPr>
      <w:r w:rsidRPr="002702B9">
        <w:rPr>
          <w:b w:val="0"/>
          <w:i w:val="0"/>
          <w:iCs w:val="0"/>
          <w:color w:val="auto"/>
        </w:rPr>
        <w:t xml:space="preserve">Publikace, příručky a informační materiály v oblasti úspor energie </w:t>
      </w:r>
      <w:r w:rsidR="0043579B" w:rsidRPr="002702B9">
        <w:rPr>
          <w:b w:val="0"/>
          <w:i w:val="0"/>
          <w:iCs w:val="0"/>
          <w:color w:val="auto"/>
        </w:rPr>
        <w:t xml:space="preserve">- </w:t>
      </w:r>
      <w:r w:rsidRPr="002702B9">
        <w:rPr>
          <w:b w:val="0"/>
          <w:i w:val="0"/>
        </w:rPr>
        <w:t xml:space="preserve">bylo podpořeno </w:t>
      </w:r>
      <w:r w:rsidR="0043579B" w:rsidRPr="002702B9">
        <w:rPr>
          <w:b w:val="0"/>
          <w:i w:val="0"/>
        </w:rPr>
        <w:t>37</w:t>
      </w:r>
      <w:r w:rsidRPr="002702B9">
        <w:rPr>
          <w:b w:val="0"/>
          <w:i w:val="0"/>
        </w:rPr>
        <w:t xml:space="preserve"> produktů velice různorodého obsahu v oblasti úspor energie a využití OZE. Podpořené produkty jsou na internetových stránkách zdarma </w:t>
      </w:r>
      <w:r w:rsidR="00B01177" w:rsidRPr="002702B9">
        <w:rPr>
          <w:b w:val="0"/>
          <w:i w:val="0"/>
        </w:rPr>
        <w:t>k </w:t>
      </w:r>
      <w:r w:rsidRPr="002702B9">
        <w:rPr>
          <w:b w:val="0"/>
          <w:i w:val="0"/>
        </w:rPr>
        <w:t xml:space="preserve">dispozici poradenským střediskům EKIS i široké veřejnosti. Podpořena byla také informační brožurka o poradenských střediscích EKIS, které MPO dotuje z programu EFEKT ve prospěch široké veřejnosti. </w:t>
      </w:r>
    </w:p>
    <w:p w:rsidR="00510C04" w:rsidRPr="002702B9" w:rsidRDefault="00DB5AB5" w:rsidP="00E04454">
      <w:pPr>
        <w:spacing w:after="120"/>
        <w:rPr>
          <w:b/>
          <w:bCs/>
          <w:sz w:val="24"/>
          <w:szCs w:val="24"/>
        </w:rPr>
      </w:pPr>
      <w:r w:rsidRPr="002702B9">
        <w:rPr>
          <w:b/>
          <w:bCs/>
          <w:sz w:val="24"/>
          <w:szCs w:val="24"/>
        </w:rPr>
        <w:t>V oblasti energetický managementy byly vypsány tyto aktivity a podpořeny projekty:</w:t>
      </w:r>
    </w:p>
    <w:p w:rsidR="00C05AB7" w:rsidRPr="002702B9" w:rsidRDefault="00EE70AF" w:rsidP="00877131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2B9">
        <w:rPr>
          <w:rFonts w:ascii="Times New Roman" w:hAnsi="Times New Roman"/>
          <w:sz w:val="24"/>
          <w:szCs w:val="24"/>
        </w:rPr>
        <w:t>Z</w:t>
      </w:r>
      <w:r w:rsidR="00C05AB7" w:rsidRPr="002702B9">
        <w:rPr>
          <w:rFonts w:ascii="Times New Roman" w:hAnsi="Times New Roman"/>
          <w:sz w:val="24"/>
          <w:szCs w:val="24"/>
        </w:rPr>
        <w:t>avedení systematického managementu hospodaření energií podle ČSN EN ISO</w:t>
      </w:r>
      <w:r w:rsidRPr="002702B9">
        <w:rPr>
          <w:rFonts w:ascii="Times New Roman" w:hAnsi="Times New Roman"/>
          <w:sz w:val="24"/>
          <w:szCs w:val="24"/>
        </w:rPr>
        <w:t xml:space="preserve"> </w:t>
      </w:r>
      <w:r w:rsidR="00C05AB7" w:rsidRPr="002702B9">
        <w:rPr>
          <w:rFonts w:ascii="Times New Roman" w:hAnsi="Times New Roman"/>
          <w:sz w:val="24"/>
          <w:szCs w:val="24"/>
        </w:rPr>
        <w:t>50001</w:t>
      </w:r>
      <w:r w:rsidRPr="002702B9">
        <w:rPr>
          <w:rFonts w:ascii="Times New Roman" w:hAnsi="Times New Roman"/>
          <w:sz w:val="24"/>
          <w:szCs w:val="24"/>
        </w:rPr>
        <w:t>- podpořeny byly 4 projekty</w:t>
      </w:r>
      <w:r w:rsidR="00195F08" w:rsidRPr="002702B9">
        <w:rPr>
          <w:rFonts w:ascii="Times New Roman" w:hAnsi="Times New Roman"/>
          <w:sz w:val="24"/>
          <w:szCs w:val="24"/>
        </w:rPr>
        <w:t>.</w:t>
      </w:r>
    </w:p>
    <w:p w:rsidR="00C05AB7" w:rsidRPr="002702B9" w:rsidRDefault="00526181" w:rsidP="00877131">
      <w:pPr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702B9">
        <w:rPr>
          <w:sz w:val="24"/>
          <w:szCs w:val="24"/>
        </w:rPr>
        <w:t>P</w:t>
      </w:r>
      <w:r w:rsidR="00C05AB7" w:rsidRPr="002702B9">
        <w:rPr>
          <w:sz w:val="24"/>
          <w:szCs w:val="24"/>
        </w:rPr>
        <w:t>říprava energeticky úsporných projektů řešených metodou EPC;</w:t>
      </w:r>
      <w:r w:rsidR="00842F1E" w:rsidRPr="002702B9">
        <w:rPr>
          <w:sz w:val="24"/>
          <w:szCs w:val="24"/>
        </w:rPr>
        <w:t xml:space="preserve"> - bylo podpořeno 16 projektů.</w:t>
      </w:r>
    </w:p>
    <w:p w:rsidR="00DB5AB5" w:rsidRPr="002702B9" w:rsidRDefault="00842F1E" w:rsidP="00877131">
      <w:pPr>
        <w:tabs>
          <w:tab w:val="left" w:pos="284"/>
        </w:tabs>
        <w:spacing w:after="120"/>
        <w:jc w:val="both"/>
        <w:rPr>
          <w:bCs/>
          <w:sz w:val="24"/>
        </w:rPr>
      </w:pPr>
      <w:r w:rsidRPr="002702B9">
        <w:rPr>
          <w:bCs/>
          <w:sz w:val="24"/>
        </w:rPr>
        <w:t>Projekty v této oblasti s sebou nesou potenciál velkých energetických úspor v obcích a krajích.</w:t>
      </w:r>
    </w:p>
    <w:p w:rsidR="00581D57" w:rsidRPr="002702B9" w:rsidRDefault="002C78C3" w:rsidP="00877131">
      <w:pPr>
        <w:tabs>
          <w:tab w:val="left" w:pos="284"/>
        </w:tabs>
        <w:spacing w:after="120"/>
        <w:jc w:val="both"/>
        <w:rPr>
          <w:b/>
          <w:bCs/>
          <w:sz w:val="24"/>
        </w:rPr>
      </w:pPr>
      <w:r w:rsidRPr="002702B9">
        <w:rPr>
          <w:b/>
          <w:bCs/>
          <w:sz w:val="24"/>
        </w:rPr>
        <w:t>V o</w:t>
      </w:r>
      <w:r w:rsidR="00581D57" w:rsidRPr="002702B9">
        <w:rPr>
          <w:b/>
          <w:bCs/>
          <w:sz w:val="24"/>
        </w:rPr>
        <w:t>blast</w:t>
      </w:r>
      <w:r w:rsidRPr="002702B9">
        <w:rPr>
          <w:b/>
          <w:bCs/>
          <w:sz w:val="24"/>
        </w:rPr>
        <w:t>i</w:t>
      </w:r>
      <w:r w:rsidR="00581D57" w:rsidRPr="002702B9">
        <w:rPr>
          <w:b/>
          <w:bCs/>
          <w:sz w:val="24"/>
        </w:rPr>
        <w:t xml:space="preserve"> specifických a pilotních projektů</w:t>
      </w:r>
      <w:r w:rsidRPr="002702B9">
        <w:rPr>
          <w:b/>
          <w:bCs/>
          <w:sz w:val="24"/>
        </w:rPr>
        <w:t xml:space="preserve"> byly vypsány tyto aktivity a podpořeny projekty:</w:t>
      </w:r>
    </w:p>
    <w:p w:rsidR="00E75D7C" w:rsidRDefault="00FD27AE" w:rsidP="00877131">
      <w:pPr>
        <w:pStyle w:val="Zkladntextodsazen2"/>
        <w:numPr>
          <w:ilvl w:val="0"/>
          <w:numId w:val="5"/>
        </w:numPr>
        <w:tabs>
          <w:tab w:val="left" w:pos="284"/>
        </w:tabs>
        <w:spacing w:after="120"/>
        <w:ind w:left="0" w:firstLine="0"/>
      </w:pPr>
      <w:r w:rsidRPr="002702B9">
        <w:t>Projekty vzdělávání a studie – neb</w:t>
      </w:r>
      <w:r w:rsidR="00E75D7C" w:rsidRPr="002702B9">
        <w:t>y</w:t>
      </w:r>
      <w:r w:rsidRPr="002702B9">
        <w:t xml:space="preserve">l </w:t>
      </w:r>
      <w:r w:rsidR="00E75D7C" w:rsidRPr="002702B9">
        <w:t>podpořen</w:t>
      </w:r>
      <w:r w:rsidRPr="002702B9">
        <w:t xml:space="preserve"> žádný</w:t>
      </w:r>
      <w:r w:rsidR="00E75D7C" w:rsidRPr="002702B9">
        <w:t xml:space="preserve"> projekt</w:t>
      </w:r>
      <w:r w:rsidR="003C7181" w:rsidRPr="002702B9">
        <w:t>.</w:t>
      </w:r>
    </w:p>
    <w:p w:rsidR="001801FE" w:rsidRPr="002702B9" w:rsidRDefault="001801FE" w:rsidP="001801FE">
      <w:pPr>
        <w:pStyle w:val="Zkladntextodsazen2"/>
        <w:spacing w:after="120"/>
        <w:ind w:firstLine="0"/>
      </w:pPr>
    </w:p>
    <w:p w:rsidR="00D63304" w:rsidRPr="00073F26" w:rsidRDefault="00D63304" w:rsidP="00E75D7C">
      <w:pPr>
        <w:pStyle w:val="Zkladntextodsazen2"/>
        <w:rPr>
          <w:sz w:val="20"/>
        </w:rPr>
      </w:pPr>
    </w:p>
    <w:p w:rsidR="00581D57" w:rsidRPr="005E0B09" w:rsidRDefault="00581D57" w:rsidP="005E0B09">
      <w:pPr>
        <w:pStyle w:val="Nadpis7"/>
        <w:numPr>
          <w:ilvl w:val="0"/>
          <w:numId w:val="35"/>
        </w:numPr>
        <w:rPr>
          <w:sz w:val="32"/>
          <w:szCs w:val="32"/>
        </w:rPr>
      </w:pPr>
      <w:r w:rsidRPr="005E0B09">
        <w:rPr>
          <w:sz w:val="32"/>
          <w:szCs w:val="32"/>
        </w:rPr>
        <w:t>Z</w:t>
      </w:r>
      <w:r w:rsidR="00E04454" w:rsidRPr="005E0B09">
        <w:rPr>
          <w:sz w:val="32"/>
          <w:szCs w:val="32"/>
        </w:rPr>
        <w:t>ÁVĚR</w:t>
      </w:r>
    </w:p>
    <w:p w:rsidR="00581D57" w:rsidRPr="008923BF" w:rsidRDefault="00581D57" w:rsidP="008923BF">
      <w:pPr>
        <w:spacing w:after="120"/>
        <w:jc w:val="both"/>
        <w:rPr>
          <w:color w:val="FF0000"/>
          <w:sz w:val="24"/>
        </w:rPr>
      </w:pPr>
    </w:p>
    <w:p w:rsidR="00C46FD2" w:rsidRPr="008923BF" w:rsidRDefault="009865C2" w:rsidP="008923BF">
      <w:pPr>
        <w:pStyle w:val="Zkladntextodsazen"/>
        <w:spacing w:after="120"/>
        <w:ind w:firstLine="0"/>
        <w:rPr>
          <w:b/>
          <w:bCs/>
        </w:rPr>
      </w:pPr>
      <w:r>
        <w:rPr>
          <w:b/>
          <w:bCs/>
        </w:rPr>
        <w:t>V roce 2013 byly z</w:t>
      </w:r>
      <w:r w:rsidR="00C46FD2" w:rsidRPr="008923BF">
        <w:rPr>
          <w:b/>
          <w:bCs/>
        </w:rPr>
        <w:t xml:space="preserve"> Programu EFEKT </w:t>
      </w:r>
      <w:r w:rsidR="00D3299B">
        <w:rPr>
          <w:b/>
          <w:bCs/>
        </w:rPr>
        <w:t>přiděl</w:t>
      </w:r>
      <w:r w:rsidR="00C46FD2" w:rsidRPr="008923BF">
        <w:rPr>
          <w:b/>
          <w:bCs/>
        </w:rPr>
        <w:t xml:space="preserve">eny dotace v celkové výši </w:t>
      </w:r>
      <w:r w:rsidR="009465CE">
        <w:rPr>
          <w:b/>
          <w:bCs/>
        </w:rPr>
        <w:t>necelých</w:t>
      </w:r>
      <w:r w:rsidR="00C46FD2" w:rsidRPr="008923BF">
        <w:rPr>
          <w:b/>
          <w:bCs/>
        </w:rPr>
        <w:t xml:space="preserve"> 28 miliónů Kč, kterými bylo podpořeno 154 projektů v oblasti úspor energie. Tyto dotace iniciovaly uskutečnění investičních i neinvestičních projektů v celkové hodnotě téměř 44 miliónů korun.</w:t>
      </w:r>
    </w:p>
    <w:p w:rsidR="00C46FD2" w:rsidRPr="009865C2" w:rsidRDefault="00755ACE" w:rsidP="008923BF">
      <w:pPr>
        <w:spacing w:after="120"/>
        <w:jc w:val="both"/>
        <w:rPr>
          <w:sz w:val="24"/>
        </w:rPr>
      </w:pPr>
      <w:r w:rsidRPr="009865C2">
        <w:rPr>
          <w:bCs/>
          <w:iCs/>
          <w:sz w:val="24"/>
        </w:rPr>
        <w:t>V roce 2013 jsme opět zaznamenali významný převis žádostí o dotaci nad možnostmi programu, zejména v investičních akcích</w:t>
      </w:r>
      <w:r w:rsidR="009865C2">
        <w:rPr>
          <w:bCs/>
          <w:iCs/>
          <w:sz w:val="24"/>
        </w:rPr>
        <w:t>. Žadateli a P</w:t>
      </w:r>
      <w:r w:rsidR="009865C2" w:rsidRPr="008923BF">
        <w:rPr>
          <w:sz w:val="24"/>
        </w:rPr>
        <w:t xml:space="preserve">říjemci dotace byli podnikatelé (fyzické i právnické osoby), obecně prospěšné společnosti a sdružení, obce, školy, výzkumné </w:t>
      </w:r>
      <w:proofErr w:type="gramStart"/>
      <w:r w:rsidR="009865C2" w:rsidRPr="008923BF">
        <w:rPr>
          <w:sz w:val="24"/>
        </w:rPr>
        <w:t>organizace a pod.</w:t>
      </w:r>
      <w:proofErr w:type="gramEnd"/>
    </w:p>
    <w:p w:rsidR="00C46FD2" w:rsidRPr="008923BF" w:rsidRDefault="00581D57" w:rsidP="008923BF">
      <w:pPr>
        <w:spacing w:after="120"/>
        <w:jc w:val="both"/>
        <w:textAlignment w:val="auto"/>
        <w:rPr>
          <w:sz w:val="24"/>
        </w:rPr>
      </w:pPr>
      <w:r w:rsidRPr="008923BF">
        <w:rPr>
          <w:sz w:val="24"/>
        </w:rPr>
        <w:t>Program E</w:t>
      </w:r>
      <w:r w:rsidR="00296FE6" w:rsidRPr="008923BF">
        <w:rPr>
          <w:sz w:val="24"/>
        </w:rPr>
        <w:t>FEKT</w:t>
      </w:r>
      <w:r w:rsidRPr="008923BF">
        <w:rPr>
          <w:sz w:val="24"/>
        </w:rPr>
        <w:t xml:space="preserve"> kromě přímých úspor přináší vysokou přidanou hodnotu ovlivňováním veřejnosti ve zdravém přístupu k ús</w:t>
      </w:r>
      <w:r w:rsidR="00C565D9" w:rsidRPr="008923BF">
        <w:rPr>
          <w:sz w:val="24"/>
        </w:rPr>
        <w:t xml:space="preserve">porám energie v denním životě. </w:t>
      </w:r>
      <w:r w:rsidR="000F4620" w:rsidRPr="008923BF">
        <w:rPr>
          <w:sz w:val="24"/>
        </w:rPr>
        <w:t xml:space="preserve"> </w:t>
      </w:r>
      <w:r w:rsidRPr="008923BF">
        <w:rPr>
          <w:sz w:val="24"/>
        </w:rPr>
        <w:t>Publikace a</w:t>
      </w:r>
      <w:r w:rsidR="00C565D9" w:rsidRPr="008923BF">
        <w:rPr>
          <w:sz w:val="24"/>
        </w:rPr>
        <w:t> </w:t>
      </w:r>
      <w:r w:rsidRPr="008923BF">
        <w:rPr>
          <w:sz w:val="24"/>
        </w:rPr>
        <w:t>příručky pro</w:t>
      </w:r>
      <w:r w:rsidR="00140187" w:rsidRPr="008923BF">
        <w:rPr>
          <w:sz w:val="24"/>
        </w:rPr>
        <w:t> </w:t>
      </w:r>
      <w:r w:rsidRPr="008923BF">
        <w:rPr>
          <w:sz w:val="24"/>
        </w:rPr>
        <w:t>veřejnost, zpracované s podporou státní dotace, jsou mj. volně přístupné na</w:t>
      </w:r>
      <w:r w:rsidR="00C565D9" w:rsidRPr="008923BF">
        <w:rPr>
          <w:sz w:val="24"/>
        </w:rPr>
        <w:t> </w:t>
      </w:r>
      <w:r w:rsidRPr="008923BF">
        <w:rPr>
          <w:sz w:val="24"/>
        </w:rPr>
        <w:t xml:space="preserve">webovém portálu ministerstva </w:t>
      </w:r>
      <w:hyperlink r:id="rId19" w:history="1">
        <w:r w:rsidRPr="008923BF">
          <w:rPr>
            <w:rStyle w:val="Hypertextovodkaz"/>
            <w:color w:val="auto"/>
            <w:sz w:val="24"/>
          </w:rPr>
          <w:t>www.mpo-efekt.cz</w:t>
        </w:r>
      </w:hyperlink>
      <w:r w:rsidRPr="008923BF">
        <w:rPr>
          <w:sz w:val="24"/>
        </w:rPr>
        <w:t xml:space="preserve"> . Semináře pořádané s přispěním státní dotace jsou hojně navštěvované a podle své náplně přinášejí nové informace odborníkům, zástupcům veřejné správy i široké veřejnosti.</w:t>
      </w:r>
      <w:r w:rsidR="00C565D9" w:rsidRPr="008923BF">
        <w:rPr>
          <w:sz w:val="24"/>
        </w:rPr>
        <w:t xml:space="preserve"> </w:t>
      </w:r>
    </w:p>
    <w:p w:rsidR="002101D2" w:rsidRDefault="00581D57" w:rsidP="00D33CCB">
      <w:pPr>
        <w:spacing w:after="120"/>
        <w:jc w:val="both"/>
        <w:textAlignment w:val="auto"/>
        <w:rPr>
          <w:sz w:val="24"/>
        </w:rPr>
      </w:pPr>
      <w:r w:rsidRPr="008923BF">
        <w:rPr>
          <w:sz w:val="24"/>
        </w:rPr>
        <w:t xml:space="preserve">Mimořádné oblibě se těší bezplatné energetické poradenství, tzv. EKIS. </w:t>
      </w:r>
      <w:r w:rsidR="00C565D9" w:rsidRPr="008923BF">
        <w:rPr>
          <w:sz w:val="24"/>
        </w:rPr>
        <w:t>Z</w:t>
      </w:r>
      <w:r w:rsidRPr="008923BF">
        <w:rPr>
          <w:sz w:val="24"/>
        </w:rPr>
        <w:t>ájemce o</w:t>
      </w:r>
      <w:r w:rsidR="00C565D9" w:rsidRPr="008923BF">
        <w:rPr>
          <w:sz w:val="24"/>
        </w:rPr>
        <w:t> </w:t>
      </w:r>
      <w:r w:rsidRPr="008923BF">
        <w:rPr>
          <w:sz w:val="24"/>
        </w:rPr>
        <w:t>radu v</w:t>
      </w:r>
      <w:r w:rsidR="009F063A" w:rsidRPr="008923BF">
        <w:rPr>
          <w:sz w:val="24"/>
        </w:rPr>
        <w:t> </w:t>
      </w:r>
      <w:r w:rsidRPr="008923BF">
        <w:rPr>
          <w:sz w:val="24"/>
        </w:rPr>
        <w:t xml:space="preserve">oblasti úspor energie může kontaktovat poradenská střediska po celé České republice osobně, nebo může využít </w:t>
      </w:r>
      <w:r w:rsidR="00C565D9" w:rsidRPr="008923BF">
        <w:rPr>
          <w:sz w:val="24"/>
        </w:rPr>
        <w:t>on-line poradnu</w:t>
      </w:r>
      <w:r w:rsidRPr="008923BF">
        <w:rPr>
          <w:sz w:val="24"/>
        </w:rPr>
        <w:t xml:space="preserve"> na výše uvedeném webu </w:t>
      </w:r>
      <w:r w:rsidR="00C565D9" w:rsidRPr="008923BF">
        <w:rPr>
          <w:sz w:val="24"/>
        </w:rPr>
        <w:t>MPO</w:t>
      </w:r>
      <w:r w:rsidRPr="008923BF">
        <w:rPr>
          <w:sz w:val="24"/>
        </w:rPr>
        <w:t>. V roce 201</w:t>
      </w:r>
      <w:r w:rsidR="00D06387" w:rsidRPr="008923BF">
        <w:rPr>
          <w:sz w:val="24"/>
        </w:rPr>
        <w:t>3</w:t>
      </w:r>
      <w:r w:rsidRPr="008923BF">
        <w:rPr>
          <w:sz w:val="24"/>
        </w:rPr>
        <w:t xml:space="preserve"> bylo zpracováno </w:t>
      </w:r>
      <w:r w:rsidR="00140187" w:rsidRPr="008923BF">
        <w:rPr>
          <w:sz w:val="24"/>
        </w:rPr>
        <w:t xml:space="preserve">přes </w:t>
      </w:r>
      <w:r w:rsidR="008923BF" w:rsidRPr="008923BF">
        <w:rPr>
          <w:sz w:val="24"/>
        </w:rPr>
        <w:t>7</w:t>
      </w:r>
      <w:r w:rsidRPr="008923BF">
        <w:rPr>
          <w:sz w:val="24"/>
        </w:rPr>
        <w:t xml:space="preserve"> tisíc bezplatných konzultací pro veřejnost. Webový portál MPO propagující program EFEKT s on-line energetickou poradnou </w:t>
      </w:r>
      <w:r w:rsidR="004757A2" w:rsidRPr="008923BF">
        <w:rPr>
          <w:sz w:val="24"/>
        </w:rPr>
        <w:t>v roce 201</w:t>
      </w:r>
      <w:r w:rsidR="00D06387" w:rsidRPr="008923BF">
        <w:rPr>
          <w:sz w:val="24"/>
        </w:rPr>
        <w:t>3</w:t>
      </w:r>
      <w:r w:rsidR="008923BF" w:rsidRPr="008923BF">
        <w:rPr>
          <w:sz w:val="24"/>
        </w:rPr>
        <w:t xml:space="preserve"> přivítal asi</w:t>
      </w:r>
      <w:r w:rsidR="004757A2" w:rsidRPr="008923BF">
        <w:rPr>
          <w:sz w:val="24"/>
        </w:rPr>
        <w:t xml:space="preserve"> 2</w:t>
      </w:r>
      <w:r w:rsidR="00FC7554" w:rsidRPr="008923BF">
        <w:rPr>
          <w:sz w:val="24"/>
        </w:rPr>
        <w:t>4</w:t>
      </w:r>
      <w:r w:rsidR="004757A2" w:rsidRPr="008923BF">
        <w:rPr>
          <w:sz w:val="24"/>
        </w:rPr>
        <w:t>0</w:t>
      </w:r>
      <w:r w:rsidRPr="008923BF">
        <w:rPr>
          <w:sz w:val="24"/>
        </w:rPr>
        <w:t xml:space="preserve"> tisíc virtuálních návštěvníků.</w:t>
      </w:r>
    </w:p>
    <w:p w:rsidR="002101D2" w:rsidRDefault="002101D2" w:rsidP="00D33CCB">
      <w:pPr>
        <w:spacing w:after="120"/>
        <w:jc w:val="both"/>
        <w:textAlignment w:val="auto"/>
        <w:rPr>
          <w:b/>
          <w:sz w:val="24"/>
        </w:rPr>
      </w:pPr>
      <w:r w:rsidRPr="00755ACE">
        <w:rPr>
          <w:b/>
          <w:sz w:val="24"/>
        </w:rPr>
        <w:t xml:space="preserve">Čerpání </w:t>
      </w:r>
      <w:r w:rsidR="00C46FD2">
        <w:rPr>
          <w:b/>
          <w:sz w:val="24"/>
        </w:rPr>
        <w:t>rozp</w:t>
      </w:r>
      <w:r w:rsidRPr="00755ACE">
        <w:rPr>
          <w:b/>
          <w:sz w:val="24"/>
        </w:rPr>
        <w:t>očtu</w:t>
      </w:r>
    </w:p>
    <w:p w:rsidR="00581D57" w:rsidRPr="00AF1A0A" w:rsidRDefault="009865C2" w:rsidP="00AF1A0A">
      <w:pPr>
        <w:spacing w:after="120"/>
        <w:jc w:val="both"/>
        <w:rPr>
          <w:sz w:val="24"/>
          <w:szCs w:val="24"/>
        </w:rPr>
      </w:pPr>
      <w:r w:rsidRPr="009865C2">
        <w:rPr>
          <w:bCs/>
          <w:sz w:val="24"/>
          <w:szCs w:val="24"/>
        </w:rPr>
        <w:t>V roce 2013 bylo ze státního rozpočtu na Program EFEKT uvolněno 30 mil</w:t>
      </w:r>
      <w:r w:rsidRPr="009865C2">
        <w:rPr>
          <w:sz w:val="24"/>
          <w:szCs w:val="24"/>
        </w:rPr>
        <w:t xml:space="preserve"> Kč</w:t>
      </w:r>
      <w:r w:rsidR="00CC1F2F">
        <w:rPr>
          <w:sz w:val="24"/>
          <w:szCs w:val="24"/>
        </w:rPr>
        <w:t xml:space="preserve"> a rozpočet programu byl doplněn o 2,27 mil. Kč nevyčerpaných nároků z minulých let. Finance </w:t>
      </w:r>
      <w:r w:rsidR="002101D2" w:rsidRPr="00C46FD2">
        <w:rPr>
          <w:sz w:val="24"/>
          <w:szCs w:val="24"/>
        </w:rPr>
        <w:t>byly přiděl</w:t>
      </w:r>
      <w:r w:rsidR="00CC1F2F">
        <w:rPr>
          <w:sz w:val="24"/>
          <w:szCs w:val="24"/>
        </w:rPr>
        <w:t>eny žadatelům v téměř plné výši</w:t>
      </w:r>
      <w:r w:rsidR="002101D2" w:rsidRPr="00C46FD2">
        <w:rPr>
          <w:sz w:val="24"/>
          <w:szCs w:val="24"/>
        </w:rPr>
        <w:t>. Nebyly však v plné výši vyčerpány</w:t>
      </w:r>
      <w:r w:rsidR="00CC1F2F">
        <w:rPr>
          <w:sz w:val="24"/>
          <w:szCs w:val="24"/>
        </w:rPr>
        <w:t xml:space="preserve"> a do nevyčerpaných nároků na příští rok bude převedeno 4,37 mil. Kč. </w:t>
      </w:r>
      <w:r w:rsidR="002101D2" w:rsidRPr="00C46FD2">
        <w:rPr>
          <w:sz w:val="24"/>
          <w:szCs w:val="24"/>
        </w:rPr>
        <w:t xml:space="preserve"> </w:t>
      </w:r>
      <w:r w:rsidR="00CC1F2F">
        <w:rPr>
          <w:sz w:val="24"/>
          <w:szCs w:val="24"/>
        </w:rPr>
        <w:t>N</w:t>
      </w:r>
      <w:r w:rsidR="002101D2" w:rsidRPr="00C46FD2">
        <w:rPr>
          <w:sz w:val="24"/>
          <w:szCs w:val="24"/>
        </w:rPr>
        <w:t>ěkteří příjemci dota</w:t>
      </w:r>
      <w:r w:rsidR="00C46FD2">
        <w:rPr>
          <w:sz w:val="24"/>
          <w:szCs w:val="24"/>
        </w:rPr>
        <w:t>ce odstoupili od přijetí dotace</w:t>
      </w:r>
      <w:r w:rsidR="00CC1F2F">
        <w:rPr>
          <w:sz w:val="24"/>
          <w:szCs w:val="24"/>
        </w:rPr>
        <w:t xml:space="preserve"> kvůli chybějícím</w:t>
      </w:r>
      <w:r w:rsidR="002101D2" w:rsidRPr="00C46FD2">
        <w:rPr>
          <w:sz w:val="24"/>
          <w:szCs w:val="24"/>
        </w:rPr>
        <w:t xml:space="preserve"> prostředk</w:t>
      </w:r>
      <w:r w:rsidR="00CC1F2F">
        <w:rPr>
          <w:sz w:val="24"/>
          <w:szCs w:val="24"/>
        </w:rPr>
        <w:t>ům</w:t>
      </w:r>
      <w:r w:rsidR="002101D2" w:rsidRPr="00C46FD2">
        <w:rPr>
          <w:sz w:val="24"/>
          <w:szCs w:val="24"/>
        </w:rPr>
        <w:t xml:space="preserve"> na dofinancování projektu, nedokonč</w:t>
      </w:r>
      <w:r w:rsidR="00CC1F2F">
        <w:rPr>
          <w:sz w:val="24"/>
          <w:szCs w:val="24"/>
        </w:rPr>
        <w:t>enému</w:t>
      </w:r>
      <w:r w:rsidR="002101D2" w:rsidRPr="00C46FD2">
        <w:rPr>
          <w:sz w:val="24"/>
          <w:szCs w:val="24"/>
        </w:rPr>
        <w:t xml:space="preserve"> výběrové</w:t>
      </w:r>
      <w:r w:rsidR="00CC1F2F">
        <w:rPr>
          <w:sz w:val="24"/>
          <w:szCs w:val="24"/>
        </w:rPr>
        <w:t>mu</w:t>
      </w:r>
      <w:r w:rsidR="002101D2" w:rsidRPr="00C46FD2">
        <w:rPr>
          <w:sz w:val="24"/>
          <w:szCs w:val="24"/>
        </w:rPr>
        <w:t xml:space="preserve"> řízení na dodavatele</w:t>
      </w:r>
      <w:r w:rsidR="00C46FD2">
        <w:rPr>
          <w:sz w:val="24"/>
          <w:szCs w:val="24"/>
        </w:rPr>
        <w:t xml:space="preserve"> </w:t>
      </w:r>
      <w:r w:rsidR="00CC1F2F">
        <w:rPr>
          <w:sz w:val="24"/>
          <w:szCs w:val="24"/>
        </w:rPr>
        <w:t>apod.</w:t>
      </w:r>
      <w:r w:rsidR="002101D2" w:rsidRPr="00C46FD2">
        <w:rPr>
          <w:sz w:val="24"/>
          <w:szCs w:val="24"/>
        </w:rPr>
        <w:t xml:space="preserve">  </w:t>
      </w:r>
    </w:p>
    <w:p w:rsidR="002101D2" w:rsidRDefault="002101D2" w:rsidP="00D33CCB">
      <w:pPr>
        <w:pStyle w:val="Default"/>
        <w:spacing w:after="120"/>
        <w:rPr>
          <w:b/>
          <w:color w:val="auto"/>
        </w:rPr>
      </w:pPr>
      <w:r w:rsidRPr="00207A12">
        <w:rPr>
          <w:b/>
          <w:color w:val="auto"/>
        </w:rPr>
        <w:t>Plnění věcných zá</w:t>
      </w:r>
      <w:r w:rsidR="00207A12" w:rsidRPr="00207A12">
        <w:rPr>
          <w:b/>
          <w:color w:val="auto"/>
        </w:rPr>
        <w:t>měrů, vyhodnocení hospodárnosti</w:t>
      </w:r>
    </w:p>
    <w:p w:rsidR="00AF1A0A" w:rsidRPr="00AF1A0A" w:rsidRDefault="00AF1A0A" w:rsidP="00AF1A0A">
      <w:pPr>
        <w:spacing w:after="120"/>
        <w:jc w:val="both"/>
        <w:textAlignment w:val="auto"/>
        <w:rPr>
          <w:sz w:val="24"/>
        </w:rPr>
      </w:pPr>
      <w:r w:rsidRPr="008923BF">
        <w:rPr>
          <w:sz w:val="24"/>
        </w:rPr>
        <w:t xml:space="preserve">Za rok 2013 bylo v programu EFEKT vynaloženo </w:t>
      </w:r>
      <w:r w:rsidR="00FD48E1">
        <w:rPr>
          <w:sz w:val="24"/>
        </w:rPr>
        <w:t>7,43</w:t>
      </w:r>
      <w:bookmarkStart w:id="12" w:name="_GoBack"/>
      <w:bookmarkEnd w:id="12"/>
      <w:r w:rsidRPr="008923BF">
        <w:rPr>
          <w:sz w:val="24"/>
        </w:rPr>
        <w:t xml:space="preserve"> miliónů Kč na podporu akcí s přímými úsporami energie. Tato částka přinesla celkové investice za </w:t>
      </w:r>
      <w:r w:rsidR="009465CE">
        <w:rPr>
          <w:sz w:val="24"/>
        </w:rPr>
        <w:t xml:space="preserve">cca </w:t>
      </w:r>
      <w:r w:rsidRPr="008923BF">
        <w:rPr>
          <w:sz w:val="24"/>
        </w:rPr>
        <w:t xml:space="preserve">22 miliónů Kč a znamená </w:t>
      </w:r>
      <w:r w:rsidRPr="008923BF">
        <w:rPr>
          <w:b/>
          <w:bCs/>
          <w:sz w:val="24"/>
        </w:rPr>
        <w:t xml:space="preserve">celkovou roční úsporu přes 6,6 tisíc GJ (přes 1800 </w:t>
      </w:r>
      <w:proofErr w:type="spellStart"/>
      <w:r w:rsidRPr="008923BF">
        <w:rPr>
          <w:b/>
          <w:bCs/>
          <w:sz w:val="24"/>
        </w:rPr>
        <w:t>MWh</w:t>
      </w:r>
      <w:proofErr w:type="spellEnd"/>
      <w:r w:rsidRPr="008923BF">
        <w:rPr>
          <w:b/>
          <w:bCs/>
          <w:sz w:val="24"/>
        </w:rPr>
        <w:t xml:space="preserve">) a </w:t>
      </w:r>
      <w:proofErr w:type="gramStart"/>
      <w:r w:rsidRPr="008923BF">
        <w:rPr>
          <w:b/>
          <w:bCs/>
          <w:sz w:val="24"/>
        </w:rPr>
        <w:t>1,3  tis.</w:t>
      </w:r>
      <w:proofErr w:type="gramEnd"/>
      <w:r w:rsidRPr="008923BF">
        <w:rPr>
          <w:b/>
          <w:bCs/>
          <w:sz w:val="24"/>
        </w:rPr>
        <w:t xml:space="preserve"> tun CO</w:t>
      </w:r>
      <w:r w:rsidRPr="008923BF">
        <w:rPr>
          <w:b/>
          <w:bCs/>
          <w:sz w:val="24"/>
          <w:vertAlign w:val="subscript"/>
        </w:rPr>
        <w:t xml:space="preserve">2   </w:t>
      </w:r>
      <w:r w:rsidRPr="008923BF">
        <w:rPr>
          <w:b/>
          <w:bCs/>
          <w:sz w:val="24"/>
        </w:rPr>
        <w:t xml:space="preserve">ročně. </w:t>
      </w:r>
      <w:r w:rsidRPr="008923BF">
        <w:rPr>
          <w:sz w:val="24"/>
        </w:rPr>
        <w:t xml:space="preserve">Průměrné měrné investiční náklady na úsporu 1 GJ jsou 3.269,- Kč, na kterých se dotace ze státního programu EFEKT 2013 podílela 1.123,- Kč. </w:t>
      </w:r>
    </w:p>
    <w:p w:rsidR="00966E1A" w:rsidRPr="00564BA0" w:rsidRDefault="00564BA0" w:rsidP="00564BA0">
      <w:pPr>
        <w:spacing w:after="120"/>
        <w:jc w:val="both"/>
        <w:textAlignment w:val="auto"/>
        <w:rPr>
          <w:sz w:val="24"/>
        </w:rPr>
      </w:pPr>
      <w:r w:rsidRPr="00564BA0">
        <w:rPr>
          <w:sz w:val="24"/>
        </w:rPr>
        <w:t>Úkol</w:t>
      </w:r>
      <w:r w:rsidR="00581D57" w:rsidRPr="00564BA0">
        <w:rPr>
          <w:sz w:val="24"/>
        </w:rPr>
        <w:t xml:space="preserve"> programu EFEKT </w:t>
      </w:r>
      <w:r w:rsidR="00207A12" w:rsidRPr="00564BA0">
        <w:rPr>
          <w:sz w:val="24"/>
        </w:rPr>
        <w:t xml:space="preserve">byl dosud </w:t>
      </w:r>
      <w:r w:rsidRPr="00564BA0">
        <w:rPr>
          <w:sz w:val="24"/>
        </w:rPr>
        <w:t>spatřován</w:t>
      </w:r>
      <w:r w:rsidR="00581D57" w:rsidRPr="00564BA0">
        <w:rPr>
          <w:sz w:val="24"/>
        </w:rPr>
        <w:t xml:space="preserve"> především </w:t>
      </w:r>
      <w:r w:rsidRPr="00564BA0">
        <w:rPr>
          <w:sz w:val="24"/>
        </w:rPr>
        <w:t>v</w:t>
      </w:r>
      <w:r w:rsidR="00581D57" w:rsidRPr="00564BA0">
        <w:rPr>
          <w:sz w:val="24"/>
        </w:rPr>
        <w:t xml:space="preserve"> podpo</w:t>
      </w:r>
      <w:r w:rsidRPr="00564BA0">
        <w:rPr>
          <w:sz w:val="24"/>
        </w:rPr>
        <w:t>ře</w:t>
      </w:r>
      <w:r w:rsidR="00581D57" w:rsidRPr="00564BA0">
        <w:rPr>
          <w:sz w:val="24"/>
        </w:rPr>
        <w:t xml:space="preserve"> </w:t>
      </w:r>
      <w:r w:rsidR="00207A12" w:rsidRPr="00564BA0">
        <w:rPr>
          <w:sz w:val="24"/>
        </w:rPr>
        <w:t>ne</w:t>
      </w:r>
      <w:r w:rsidR="00581D57" w:rsidRPr="00564BA0">
        <w:rPr>
          <w:sz w:val="24"/>
        </w:rPr>
        <w:t>přímých úspor energie a </w:t>
      </w:r>
      <w:r w:rsidRPr="00564BA0">
        <w:rPr>
          <w:sz w:val="24"/>
        </w:rPr>
        <w:t>v</w:t>
      </w:r>
      <w:r w:rsidR="00581D57" w:rsidRPr="00564BA0">
        <w:rPr>
          <w:sz w:val="24"/>
        </w:rPr>
        <w:t> poradensk</w:t>
      </w:r>
      <w:r w:rsidRPr="00564BA0">
        <w:rPr>
          <w:sz w:val="24"/>
        </w:rPr>
        <w:t>é</w:t>
      </w:r>
      <w:r w:rsidR="00581D57" w:rsidRPr="00564BA0">
        <w:rPr>
          <w:sz w:val="24"/>
        </w:rPr>
        <w:t xml:space="preserve"> a vzdělávací činnost</w:t>
      </w:r>
      <w:r w:rsidRPr="00564BA0">
        <w:rPr>
          <w:sz w:val="24"/>
        </w:rPr>
        <w:t>i</w:t>
      </w:r>
      <w:r w:rsidR="00581D57" w:rsidRPr="00564BA0">
        <w:rPr>
          <w:sz w:val="24"/>
        </w:rPr>
        <w:t>. Pokud by tento státní program disponoval větším finančním objemem, mohli bychom se více věnovat také podpoře úspor energie a</w:t>
      </w:r>
      <w:r w:rsidR="00C565D9" w:rsidRPr="00564BA0">
        <w:rPr>
          <w:sz w:val="24"/>
        </w:rPr>
        <w:t> </w:t>
      </w:r>
      <w:r w:rsidR="00581D57" w:rsidRPr="00564BA0">
        <w:rPr>
          <w:sz w:val="24"/>
        </w:rPr>
        <w:t xml:space="preserve">podpoře výroby energie z OZE. </w:t>
      </w:r>
      <w:r w:rsidR="00966E1A" w:rsidRPr="00564BA0">
        <w:rPr>
          <w:sz w:val="24"/>
        </w:rPr>
        <w:t>Letos byl převis poptávky nad nabídkou v poměru 127 milionů Kč v žádostech oproti 30 milionům Kč v přidělených dotacích.</w:t>
      </w:r>
    </w:p>
    <w:p w:rsidR="007F7DA1" w:rsidRPr="00564BA0" w:rsidRDefault="007F7DA1" w:rsidP="00564BA0">
      <w:pPr>
        <w:pStyle w:val="Zkladntext21"/>
        <w:spacing w:after="120"/>
        <w:ind w:firstLine="0"/>
        <w:rPr>
          <w:szCs w:val="24"/>
        </w:rPr>
      </w:pPr>
      <w:r w:rsidRPr="00564BA0">
        <w:rPr>
          <w:szCs w:val="24"/>
        </w:rPr>
        <w:t xml:space="preserve">Efektivnost programu Efekt nelze měřit přímo. Jeho přínosy se projeví nepřímo </w:t>
      </w:r>
      <w:r w:rsidR="00966E1A" w:rsidRPr="00564BA0">
        <w:rPr>
          <w:szCs w:val="24"/>
        </w:rPr>
        <w:t>tak</w:t>
      </w:r>
      <w:r w:rsidRPr="00564BA0">
        <w:rPr>
          <w:szCs w:val="24"/>
        </w:rPr>
        <w:t>, že</w:t>
      </w:r>
      <w:r w:rsidR="00966E1A" w:rsidRPr="00564BA0">
        <w:rPr>
          <w:szCs w:val="24"/>
        </w:rPr>
        <w:t> </w:t>
      </w:r>
      <w:r w:rsidRPr="00564BA0">
        <w:rPr>
          <w:szCs w:val="24"/>
        </w:rPr>
        <w:t xml:space="preserve">přispěje k propagaci cílů </w:t>
      </w:r>
      <w:r w:rsidR="00966E1A" w:rsidRPr="00564BA0">
        <w:rPr>
          <w:szCs w:val="24"/>
        </w:rPr>
        <w:t xml:space="preserve">Evropské unie stanovených pro </w:t>
      </w:r>
      <w:r w:rsidRPr="00564BA0">
        <w:rPr>
          <w:szCs w:val="24"/>
        </w:rPr>
        <w:t>ČR u veřejnosti, přispěje k</w:t>
      </w:r>
      <w:r w:rsidR="00966E1A" w:rsidRPr="00564BA0">
        <w:rPr>
          <w:szCs w:val="24"/>
        </w:rPr>
        <w:t> </w:t>
      </w:r>
      <w:r w:rsidRPr="00564BA0">
        <w:rPr>
          <w:szCs w:val="24"/>
        </w:rPr>
        <w:t xml:space="preserve">informovanosti veřejnosti o stimulačních ekonomických nástrojích, poskytne objektivní nekomerční </w:t>
      </w:r>
      <w:proofErr w:type="spellStart"/>
      <w:r w:rsidRPr="00564BA0">
        <w:rPr>
          <w:szCs w:val="24"/>
        </w:rPr>
        <w:t>technicko</w:t>
      </w:r>
      <w:proofErr w:type="spellEnd"/>
      <w:r w:rsidRPr="00564BA0">
        <w:rPr>
          <w:szCs w:val="24"/>
        </w:rPr>
        <w:t xml:space="preserve"> - ekonomické informace firmám</w:t>
      </w:r>
      <w:r w:rsidR="00966E1A" w:rsidRPr="00564BA0">
        <w:rPr>
          <w:szCs w:val="24"/>
        </w:rPr>
        <w:t>, obcím</w:t>
      </w:r>
      <w:r w:rsidRPr="00564BA0">
        <w:rPr>
          <w:szCs w:val="24"/>
        </w:rPr>
        <w:t xml:space="preserve"> i individuálním zájemcům</w:t>
      </w:r>
      <w:r w:rsidR="00966E1A" w:rsidRPr="00564BA0">
        <w:rPr>
          <w:szCs w:val="24"/>
        </w:rPr>
        <w:t xml:space="preserve"> a </w:t>
      </w:r>
      <w:r w:rsidRPr="00564BA0">
        <w:rPr>
          <w:szCs w:val="24"/>
        </w:rPr>
        <w:t xml:space="preserve">shromáždí informace užitečné pro formulování akčních dokumentů v oblasti efektivního nakládání s energií. K těmto aktivitám přispívá také webový portál s názvem </w:t>
      </w:r>
      <w:hyperlink r:id="rId20" w:history="1">
        <w:r w:rsidR="00966E1A" w:rsidRPr="00564BA0">
          <w:rPr>
            <w:rStyle w:val="Hypertextovodkaz"/>
            <w:color w:val="auto"/>
            <w:szCs w:val="24"/>
          </w:rPr>
          <w:t>www.mpo-efekt.cz</w:t>
        </w:r>
      </w:hyperlink>
      <w:r w:rsidR="00966E1A" w:rsidRPr="00564BA0">
        <w:rPr>
          <w:szCs w:val="24"/>
        </w:rPr>
        <w:t xml:space="preserve"> </w:t>
      </w:r>
      <w:r w:rsidRPr="00564BA0">
        <w:rPr>
          <w:szCs w:val="24"/>
        </w:rPr>
        <w:t>. Portál slouží pro všestrannou propagaci úspor energie a využití obnovitelných zdrojů energie. Návštěvník zde nalezne mimo jiné internetovou energetickou poradnu, informace o programech v oblasti úspor energie a obnovitelných zdrojů, zejména o programu EFEKT, odborné publikace a také infor</w:t>
      </w:r>
      <w:r w:rsidR="00D33CCB" w:rsidRPr="00564BA0">
        <w:rPr>
          <w:szCs w:val="24"/>
        </w:rPr>
        <w:t>mace o související legislativě.</w:t>
      </w:r>
    </w:p>
    <w:p w:rsidR="0065486E" w:rsidRPr="00564BA0" w:rsidRDefault="007F7DA1" w:rsidP="00564BA0">
      <w:pPr>
        <w:spacing w:after="120"/>
        <w:jc w:val="both"/>
        <w:rPr>
          <w:sz w:val="24"/>
          <w:szCs w:val="24"/>
        </w:rPr>
      </w:pPr>
      <w:r w:rsidRPr="00564BA0">
        <w:rPr>
          <w:sz w:val="24"/>
          <w:szCs w:val="24"/>
        </w:rPr>
        <w:t xml:space="preserve">Z výše uvedeného vyplývá, že značná část financí </w:t>
      </w:r>
      <w:r w:rsidR="00966E1A" w:rsidRPr="00564BA0">
        <w:rPr>
          <w:sz w:val="24"/>
          <w:szCs w:val="24"/>
        </w:rPr>
        <w:t xml:space="preserve">je </w:t>
      </w:r>
      <w:r w:rsidRPr="00564BA0">
        <w:rPr>
          <w:sz w:val="24"/>
          <w:szCs w:val="24"/>
        </w:rPr>
        <w:t>směrována právě do projektů, jejichž přínos nelze objektivně změřit. Proto není přímá úspora energie, dosažená realizací investičníc</w:t>
      </w:r>
      <w:r w:rsidR="00D33CCB" w:rsidRPr="00564BA0">
        <w:rPr>
          <w:sz w:val="24"/>
          <w:szCs w:val="24"/>
        </w:rPr>
        <w:t xml:space="preserve">h akcí, zatím příliš významná. </w:t>
      </w:r>
    </w:p>
    <w:p w:rsidR="00A31845" w:rsidRPr="006B2780" w:rsidRDefault="00B3317A" w:rsidP="00AF1A0A">
      <w:pPr>
        <w:pStyle w:val="Zkladntext"/>
        <w:spacing w:after="120" w:line="240" w:lineRule="auto"/>
        <w:rPr>
          <w:sz w:val="24"/>
          <w:szCs w:val="24"/>
        </w:rPr>
      </w:pPr>
      <w:r w:rsidRPr="00564BA0">
        <w:rPr>
          <w:sz w:val="24"/>
          <w:szCs w:val="24"/>
        </w:rPr>
        <w:t>Přesto, že kvůli nízkému rozpočtu programu dosahujeme jen nevýznamných přímých úspor energie a CO</w:t>
      </w:r>
      <w:r w:rsidRPr="00564BA0">
        <w:rPr>
          <w:sz w:val="24"/>
          <w:szCs w:val="24"/>
          <w:vertAlign w:val="subscript"/>
        </w:rPr>
        <w:t>2</w:t>
      </w:r>
      <w:r w:rsidRPr="00564BA0">
        <w:rPr>
          <w:sz w:val="24"/>
          <w:szCs w:val="24"/>
        </w:rPr>
        <w:t xml:space="preserve"> ročně, nepovažujeme jeho výsledky za zanedbatelné, zejména co do osvěty veřejnosti a municipalit.</w:t>
      </w:r>
      <w:r w:rsidR="00A65A47" w:rsidRPr="00564BA0">
        <w:rPr>
          <w:sz w:val="24"/>
          <w:szCs w:val="24"/>
        </w:rPr>
        <w:t xml:space="preserve"> I toto je součást </w:t>
      </w:r>
      <w:r w:rsidR="00581D57" w:rsidRPr="00564BA0">
        <w:rPr>
          <w:sz w:val="24"/>
          <w:szCs w:val="24"/>
        </w:rPr>
        <w:t>cest</w:t>
      </w:r>
      <w:r w:rsidR="00A65A47" w:rsidRPr="00564BA0">
        <w:rPr>
          <w:sz w:val="24"/>
          <w:szCs w:val="24"/>
        </w:rPr>
        <w:t>y</w:t>
      </w:r>
      <w:r w:rsidR="00581D57" w:rsidRPr="00564BA0">
        <w:rPr>
          <w:sz w:val="24"/>
          <w:szCs w:val="24"/>
        </w:rPr>
        <w:t xml:space="preserve">, </w:t>
      </w:r>
      <w:r w:rsidR="00A65A47" w:rsidRPr="00564BA0">
        <w:rPr>
          <w:sz w:val="24"/>
          <w:szCs w:val="24"/>
        </w:rPr>
        <w:t>jak</w:t>
      </w:r>
      <w:r w:rsidR="00581D57" w:rsidRPr="00564BA0">
        <w:rPr>
          <w:sz w:val="24"/>
          <w:szCs w:val="24"/>
        </w:rPr>
        <w:t xml:space="preserve"> napomoci k plnění závazků České republiky vůči EU v oblasti ochrany ovzduší. </w:t>
      </w:r>
      <w:r w:rsidR="00A65A47" w:rsidRPr="00564BA0">
        <w:rPr>
          <w:sz w:val="24"/>
          <w:szCs w:val="24"/>
        </w:rPr>
        <w:t>P</w:t>
      </w:r>
      <w:r w:rsidR="00581D57" w:rsidRPr="00564BA0">
        <w:rPr>
          <w:sz w:val="24"/>
          <w:szCs w:val="24"/>
        </w:rPr>
        <w:t>rogram</w:t>
      </w:r>
      <w:r w:rsidR="00A65A47" w:rsidRPr="00564BA0">
        <w:rPr>
          <w:sz w:val="24"/>
          <w:szCs w:val="24"/>
        </w:rPr>
        <w:t xml:space="preserve"> EFEKT</w:t>
      </w:r>
      <w:r w:rsidR="00581D57" w:rsidRPr="00564BA0">
        <w:rPr>
          <w:sz w:val="24"/>
          <w:szCs w:val="24"/>
        </w:rPr>
        <w:t xml:space="preserve"> se skromným rozpočtem </w:t>
      </w:r>
      <w:r w:rsidR="00A65A47" w:rsidRPr="00564BA0">
        <w:rPr>
          <w:sz w:val="24"/>
          <w:szCs w:val="24"/>
        </w:rPr>
        <w:t xml:space="preserve">svým způsobem také </w:t>
      </w:r>
      <w:r w:rsidR="00581D57" w:rsidRPr="00564BA0">
        <w:rPr>
          <w:sz w:val="24"/>
          <w:szCs w:val="24"/>
        </w:rPr>
        <w:t>přispívá ke splnění úkolu daného K</w:t>
      </w:r>
      <w:r w:rsidR="007F7DA1" w:rsidRPr="00564BA0">
        <w:rPr>
          <w:sz w:val="24"/>
          <w:szCs w:val="24"/>
        </w:rPr>
        <w:t>limaticko-energetickým balíčkem.</w:t>
      </w:r>
    </w:p>
    <w:p w:rsidR="00A31845" w:rsidRPr="00AF1A0A" w:rsidRDefault="00A31845" w:rsidP="006B2780">
      <w:pPr>
        <w:pStyle w:val="Default"/>
        <w:spacing w:after="120"/>
        <w:rPr>
          <w:b/>
          <w:i/>
          <w:color w:val="auto"/>
        </w:rPr>
      </w:pPr>
      <w:r w:rsidRPr="00AF1A0A">
        <w:rPr>
          <w:b/>
          <w:i/>
          <w:color w:val="auto"/>
        </w:rPr>
        <w:t>Předpokládaný další postup realizace programu</w:t>
      </w:r>
    </w:p>
    <w:p w:rsidR="00966E1A" w:rsidRPr="00AF1A0A" w:rsidRDefault="00966E1A" w:rsidP="009865C2">
      <w:pPr>
        <w:pStyle w:val="Zkladntext21"/>
        <w:spacing w:after="120"/>
        <w:ind w:firstLine="0"/>
        <w:rPr>
          <w:szCs w:val="24"/>
        </w:rPr>
      </w:pPr>
      <w:r w:rsidRPr="00AF1A0A">
        <w:rPr>
          <w:szCs w:val="24"/>
        </w:rPr>
        <w:t>Náklady na Státní program EFEKT pro aktuální rok 2014 představuje částka 3</w:t>
      </w:r>
      <w:r w:rsidRPr="00AF1A0A">
        <w:rPr>
          <w:bCs/>
          <w:szCs w:val="24"/>
        </w:rPr>
        <w:t>0 milionů Kč (plus 4,37 mil. Kč z nespotřebovaných nároků rozpočtů minulých let),</w:t>
      </w:r>
      <w:r w:rsidRPr="00AF1A0A">
        <w:rPr>
          <w:szCs w:val="24"/>
        </w:rPr>
        <w:t xml:space="preserve"> která bude rozdělena mezi investiční a neinvestiční aktivity.</w:t>
      </w:r>
    </w:p>
    <w:p w:rsidR="00A31845" w:rsidRPr="00AF1A0A" w:rsidRDefault="009865C2" w:rsidP="006B2780">
      <w:pPr>
        <w:spacing w:after="120"/>
        <w:jc w:val="both"/>
        <w:rPr>
          <w:sz w:val="24"/>
          <w:szCs w:val="24"/>
        </w:rPr>
      </w:pPr>
      <w:r w:rsidRPr="00AF1A0A">
        <w:rPr>
          <w:bCs/>
          <w:iCs/>
          <w:sz w:val="24"/>
          <w:szCs w:val="24"/>
        </w:rPr>
        <w:t>V roce 2014 je opět zaznamenán převis poptávky nad finančními možnostmi programu EFEKT.</w:t>
      </w:r>
      <w:r w:rsidRPr="00AF1A0A">
        <w:rPr>
          <w:bCs/>
          <w:iCs/>
          <w:sz w:val="24"/>
        </w:rPr>
        <w:t xml:space="preserve"> Hodnotitelská komise však rozhodla ve větší míře podpořit investiční projekty, než tomu bylo v letech minulých. Podpora neinvestičních akcí bude omezena, protože v důsledku vysoké podpory této oblasti v předchozích letech je zajištěna dostatečná informovanost široké veřejnosti a dostupnost odborných materiálů pro odbornou veřejnost. K</w:t>
      </w:r>
      <w:r w:rsidR="00D33CCB" w:rsidRPr="00AF1A0A">
        <w:rPr>
          <w:sz w:val="24"/>
          <w:szCs w:val="24"/>
        </w:rPr>
        <w:t>lade</w:t>
      </w:r>
      <w:r w:rsidR="0073292B" w:rsidRPr="00AF1A0A">
        <w:rPr>
          <w:sz w:val="24"/>
          <w:szCs w:val="24"/>
        </w:rPr>
        <w:t xml:space="preserve"> se</w:t>
      </w:r>
      <w:r w:rsidR="00A31845" w:rsidRPr="00AF1A0A">
        <w:rPr>
          <w:sz w:val="24"/>
          <w:szCs w:val="24"/>
        </w:rPr>
        <w:t xml:space="preserve"> </w:t>
      </w:r>
      <w:r w:rsidR="00AF1A0A" w:rsidRPr="00AF1A0A">
        <w:rPr>
          <w:sz w:val="24"/>
          <w:szCs w:val="24"/>
        </w:rPr>
        <w:t>také</w:t>
      </w:r>
      <w:r w:rsidRPr="00AF1A0A">
        <w:rPr>
          <w:sz w:val="24"/>
          <w:szCs w:val="24"/>
        </w:rPr>
        <w:t xml:space="preserve"> </w:t>
      </w:r>
      <w:r w:rsidR="00A31845" w:rsidRPr="00AF1A0A">
        <w:rPr>
          <w:sz w:val="24"/>
          <w:szCs w:val="24"/>
        </w:rPr>
        <w:t>důraz na</w:t>
      </w:r>
      <w:r w:rsidR="00AF1A0A" w:rsidRPr="00AF1A0A">
        <w:rPr>
          <w:sz w:val="24"/>
          <w:szCs w:val="24"/>
        </w:rPr>
        <w:t> </w:t>
      </w:r>
      <w:r w:rsidR="00A31845" w:rsidRPr="00AF1A0A">
        <w:rPr>
          <w:sz w:val="24"/>
          <w:szCs w:val="24"/>
        </w:rPr>
        <w:t xml:space="preserve">podporu bezplatného energetického poradenství v oblasti úspor energie. </w:t>
      </w:r>
    </w:p>
    <w:p w:rsidR="00A31845" w:rsidRPr="00A31845" w:rsidRDefault="00A31845" w:rsidP="00CA5FEF">
      <w:pPr>
        <w:pStyle w:val="Zkladntext"/>
        <w:spacing w:line="264" w:lineRule="auto"/>
        <w:ind w:firstLine="708"/>
        <w:rPr>
          <w:color w:val="FF0000"/>
          <w:sz w:val="24"/>
          <w:szCs w:val="24"/>
        </w:rPr>
      </w:pPr>
    </w:p>
    <w:p w:rsidR="00E03013" w:rsidRPr="00A31845" w:rsidRDefault="00E03013" w:rsidP="00CA5FEF">
      <w:pPr>
        <w:spacing w:line="264" w:lineRule="auto"/>
        <w:jc w:val="both"/>
        <w:rPr>
          <w:color w:val="FF0000"/>
        </w:rPr>
      </w:pPr>
    </w:p>
    <w:sectPr w:rsidR="00E03013" w:rsidRPr="00A31845" w:rsidSect="00810822">
      <w:footerReference w:type="even" r:id="rId21"/>
      <w:footerReference w:type="default" r:id="rId22"/>
      <w:pgSz w:w="11906" w:h="16838"/>
      <w:pgMar w:top="993" w:right="141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36" w:rsidRDefault="00132236">
      <w:r>
        <w:separator/>
      </w:r>
    </w:p>
  </w:endnote>
  <w:endnote w:type="continuationSeparator" w:id="0">
    <w:p w:rsidR="00132236" w:rsidRDefault="0013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36" w:rsidRDefault="00132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2236" w:rsidRDefault="0013223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36" w:rsidRDefault="00132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48E1">
      <w:rPr>
        <w:rStyle w:val="slostrnky"/>
        <w:noProof/>
      </w:rPr>
      <w:t>11</w:t>
    </w:r>
    <w:r>
      <w:rPr>
        <w:rStyle w:val="slostrnky"/>
      </w:rPr>
      <w:fldChar w:fldCharType="end"/>
    </w:r>
  </w:p>
  <w:p w:rsidR="00132236" w:rsidRDefault="0013223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36" w:rsidRDefault="00132236">
      <w:r>
        <w:separator/>
      </w:r>
    </w:p>
  </w:footnote>
  <w:footnote w:type="continuationSeparator" w:id="0">
    <w:p w:rsidR="00132236" w:rsidRDefault="0013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83A"/>
    <w:multiLevelType w:val="hybridMultilevel"/>
    <w:tmpl w:val="065AF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4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0F314D"/>
    <w:multiLevelType w:val="hybridMultilevel"/>
    <w:tmpl w:val="3D9C08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>
    <w:nsid w:val="0D145E83"/>
    <w:multiLevelType w:val="hybridMultilevel"/>
    <w:tmpl w:val="51CA3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D44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FF61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5226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0A5A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A251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6E09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EA11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516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F409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6066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C51B86"/>
    <w:multiLevelType w:val="hybridMultilevel"/>
    <w:tmpl w:val="4C1C62F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B563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CF53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226A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0E177F"/>
    <w:multiLevelType w:val="multilevel"/>
    <w:tmpl w:val="10FCD7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8756F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43579"/>
    <w:multiLevelType w:val="hybridMultilevel"/>
    <w:tmpl w:val="51409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560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B5C49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EA13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F11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237392"/>
    <w:multiLevelType w:val="hybridMultilevel"/>
    <w:tmpl w:val="0812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D785D"/>
    <w:multiLevelType w:val="hybridMultilevel"/>
    <w:tmpl w:val="CB1208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5F922B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8E450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C735873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>
    <w:nsid w:val="6F6D7B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7457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5110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D36C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D8D546F"/>
    <w:multiLevelType w:val="hybridMultilevel"/>
    <w:tmpl w:val="C66A8E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"/>
  </w:num>
  <w:num w:numId="3">
    <w:abstractNumId w:val="14"/>
  </w:num>
  <w:num w:numId="4">
    <w:abstractNumId w:val="3"/>
  </w:num>
  <w:num w:numId="5">
    <w:abstractNumId w:val="25"/>
  </w:num>
  <w:num w:numId="6">
    <w:abstractNumId w:val="0"/>
  </w:num>
  <w:num w:numId="7">
    <w:abstractNumId w:val="20"/>
  </w:num>
  <w:num w:numId="8">
    <w:abstractNumId w:val="9"/>
  </w:num>
  <w:num w:numId="9">
    <w:abstractNumId w:val="24"/>
  </w:num>
  <w:num w:numId="10">
    <w:abstractNumId w:val="34"/>
  </w:num>
  <w:num w:numId="11">
    <w:abstractNumId w:val="7"/>
  </w:num>
  <w:num w:numId="12">
    <w:abstractNumId w:val="16"/>
  </w:num>
  <w:num w:numId="13">
    <w:abstractNumId w:val="8"/>
  </w:num>
  <w:num w:numId="14">
    <w:abstractNumId w:val="28"/>
  </w:num>
  <w:num w:numId="15">
    <w:abstractNumId w:val="13"/>
  </w:num>
  <w:num w:numId="16">
    <w:abstractNumId w:val="27"/>
  </w:num>
  <w:num w:numId="17">
    <w:abstractNumId w:val="31"/>
  </w:num>
  <w:num w:numId="18">
    <w:abstractNumId w:val="17"/>
  </w:num>
  <w:num w:numId="19">
    <w:abstractNumId w:val="1"/>
  </w:num>
  <w:num w:numId="20">
    <w:abstractNumId w:val="22"/>
  </w:num>
  <w:num w:numId="21">
    <w:abstractNumId w:val="29"/>
  </w:num>
  <w:num w:numId="22">
    <w:abstractNumId w:val="21"/>
  </w:num>
  <w:num w:numId="23">
    <w:abstractNumId w:val="5"/>
  </w:num>
  <w:num w:numId="24">
    <w:abstractNumId w:val="11"/>
  </w:num>
  <w:num w:numId="25">
    <w:abstractNumId w:val="19"/>
  </w:num>
  <w:num w:numId="26">
    <w:abstractNumId w:val="12"/>
  </w:num>
  <w:num w:numId="27">
    <w:abstractNumId w:val="32"/>
  </w:num>
  <w:num w:numId="28">
    <w:abstractNumId w:val="33"/>
  </w:num>
  <w:num w:numId="29">
    <w:abstractNumId w:val="4"/>
  </w:num>
  <w:num w:numId="30">
    <w:abstractNumId w:val="10"/>
  </w:num>
  <w:num w:numId="31">
    <w:abstractNumId w:val="23"/>
  </w:num>
  <w:num w:numId="32">
    <w:abstractNumId w:val="6"/>
  </w:num>
  <w:num w:numId="33">
    <w:abstractNumId w:val="18"/>
  </w:num>
  <w:num w:numId="34">
    <w:abstractNumId w:val="30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B8"/>
    <w:rsid w:val="0000490C"/>
    <w:rsid w:val="00005D3C"/>
    <w:rsid w:val="00032AB3"/>
    <w:rsid w:val="00057AD5"/>
    <w:rsid w:val="00063BB9"/>
    <w:rsid w:val="00064DF1"/>
    <w:rsid w:val="000655CA"/>
    <w:rsid w:val="00073F26"/>
    <w:rsid w:val="00075382"/>
    <w:rsid w:val="00081743"/>
    <w:rsid w:val="00084342"/>
    <w:rsid w:val="000853C2"/>
    <w:rsid w:val="00094C3B"/>
    <w:rsid w:val="000A0378"/>
    <w:rsid w:val="000A57DF"/>
    <w:rsid w:val="000B548C"/>
    <w:rsid w:val="000B648A"/>
    <w:rsid w:val="000C7474"/>
    <w:rsid w:val="000D2624"/>
    <w:rsid w:val="000D42BF"/>
    <w:rsid w:val="000D65CF"/>
    <w:rsid w:val="000D708F"/>
    <w:rsid w:val="000E40D4"/>
    <w:rsid w:val="000E63D3"/>
    <w:rsid w:val="000F07B2"/>
    <w:rsid w:val="000F4620"/>
    <w:rsid w:val="0011355C"/>
    <w:rsid w:val="00114965"/>
    <w:rsid w:val="00132236"/>
    <w:rsid w:val="00140187"/>
    <w:rsid w:val="00143874"/>
    <w:rsid w:val="00143CA3"/>
    <w:rsid w:val="00146568"/>
    <w:rsid w:val="001513B5"/>
    <w:rsid w:val="00152286"/>
    <w:rsid w:val="00154E93"/>
    <w:rsid w:val="00160ECB"/>
    <w:rsid w:val="00163B11"/>
    <w:rsid w:val="0017751B"/>
    <w:rsid w:val="001801FE"/>
    <w:rsid w:val="00181613"/>
    <w:rsid w:val="00195F08"/>
    <w:rsid w:val="00197A62"/>
    <w:rsid w:val="001A7254"/>
    <w:rsid w:val="001C3F8B"/>
    <w:rsid w:val="001C59FE"/>
    <w:rsid w:val="001C60B6"/>
    <w:rsid w:val="001C7D04"/>
    <w:rsid w:val="001D12D7"/>
    <w:rsid w:val="001D39DF"/>
    <w:rsid w:val="001E4D57"/>
    <w:rsid w:val="001E597E"/>
    <w:rsid w:val="001E6F36"/>
    <w:rsid w:val="001F5255"/>
    <w:rsid w:val="001F6AC1"/>
    <w:rsid w:val="001F6F5B"/>
    <w:rsid w:val="00202646"/>
    <w:rsid w:val="002026E6"/>
    <w:rsid w:val="00207A12"/>
    <w:rsid w:val="002101D2"/>
    <w:rsid w:val="002105F9"/>
    <w:rsid w:val="00211A5E"/>
    <w:rsid w:val="00212198"/>
    <w:rsid w:val="00214459"/>
    <w:rsid w:val="00222C76"/>
    <w:rsid w:val="00224B9C"/>
    <w:rsid w:val="002306A7"/>
    <w:rsid w:val="00232580"/>
    <w:rsid w:val="0024453B"/>
    <w:rsid w:val="0024697D"/>
    <w:rsid w:val="00246D0B"/>
    <w:rsid w:val="002562E5"/>
    <w:rsid w:val="00260F3C"/>
    <w:rsid w:val="002702B9"/>
    <w:rsid w:val="00272501"/>
    <w:rsid w:val="00283F77"/>
    <w:rsid w:val="00285269"/>
    <w:rsid w:val="00287CE8"/>
    <w:rsid w:val="00296FE6"/>
    <w:rsid w:val="002A388E"/>
    <w:rsid w:val="002B4D06"/>
    <w:rsid w:val="002B5BB1"/>
    <w:rsid w:val="002B6791"/>
    <w:rsid w:val="002B7EBD"/>
    <w:rsid w:val="002C6680"/>
    <w:rsid w:val="002C78C3"/>
    <w:rsid w:val="002D1C9E"/>
    <w:rsid w:val="002D20F4"/>
    <w:rsid w:val="002E6274"/>
    <w:rsid w:val="0030005D"/>
    <w:rsid w:val="00312552"/>
    <w:rsid w:val="00313FBB"/>
    <w:rsid w:val="003214A6"/>
    <w:rsid w:val="0033294E"/>
    <w:rsid w:val="003354BB"/>
    <w:rsid w:val="003441C4"/>
    <w:rsid w:val="0035170B"/>
    <w:rsid w:val="00360B45"/>
    <w:rsid w:val="00363A86"/>
    <w:rsid w:val="0036763B"/>
    <w:rsid w:val="0037301D"/>
    <w:rsid w:val="00381BA8"/>
    <w:rsid w:val="00383B0C"/>
    <w:rsid w:val="003850E6"/>
    <w:rsid w:val="00396108"/>
    <w:rsid w:val="003A0E54"/>
    <w:rsid w:val="003A22AC"/>
    <w:rsid w:val="003A2C42"/>
    <w:rsid w:val="003A31CC"/>
    <w:rsid w:val="003B174C"/>
    <w:rsid w:val="003B3119"/>
    <w:rsid w:val="003B6835"/>
    <w:rsid w:val="003C7181"/>
    <w:rsid w:val="003D1912"/>
    <w:rsid w:val="003E4497"/>
    <w:rsid w:val="003E533D"/>
    <w:rsid w:val="003E5353"/>
    <w:rsid w:val="003E5B7D"/>
    <w:rsid w:val="003F115D"/>
    <w:rsid w:val="003F17B8"/>
    <w:rsid w:val="003F3841"/>
    <w:rsid w:val="00402CDA"/>
    <w:rsid w:val="00402D7D"/>
    <w:rsid w:val="00407DC5"/>
    <w:rsid w:val="0041027E"/>
    <w:rsid w:val="00417128"/>
    <w:rsid w:val="00434CB8"/>
    <w:rsid w:val="0043579B"/>
    <w:rsid w:val="00442E45"/>
    <w:rsid w:val="00444C0A"/>
    <w:rsid w:val="004506F1"/>
    <w:rsid w:val="0045109D"/>
    <w:rsid w:val="004567C4"/>
    <w:rsid w:val="004573FB"/>
    <w:rsid w:val="004757A2"/>
    <w:rsid w:val="004772A3"/>
    <w:rsid w:val="00486FFF"/>
    <w:rsid w:val="00497DF1"/>
    <w:rsid w:val="004A1A3D"/>
    <w:rsid w:val="004A4FA4"/>
    <w:rsid w:val="004B71C8"/>
    <w:rsid w:val="004C1DAF"/>
    <w:rsid w:val="004D0BCF"/>
    <w:rsid w:val="004E14BE"/>
    <w:rsid w:val="004E5F19"/>
    <w:rsid w:val="004F0031"/>
    <w:rsid w:val="004F068D"/>
    <w:rsid w:val="00510C04"/>
    <w:rsid w:val="0051102A"/>
    <w:rsid w:val="00512858"/>
    <w:rsid w:val="00514808"/>
    <w:rsid w:val="00516436"/>
    <w:rsid w:val="00524D48"/>
    <w:rsid w:val="00526181"/>
    <w:rsid w:val="005306D1"/>
    <w:rsid w:val="00532967"/>
    <w:rsid w:val="00532BB5"/>
    <w:rsid w:val="00534F7B"/>
    <w:rsid w:val="0053791A"/>
    <w:rsid w:val="00547A7D"/>
    <w:rsid w:val="00551CCE"/>
    <w:rsid w:val="00554772"/>
    <w:rsid w:val="005564E8"/>
    <w:rsid w:val="00564BA0"/>
    <w:rsid w:val="00565061"/>
    <w:rsid w:val="00571C17"/>
    <w:rsid w:val="00575EC3"/>
    <w:rsid w:val="00581D57"/>
    <w:rsid w:val="005911AD"/>
    <w:rsid w:val="00597A48"/>
    <w:rsid w:val="005A4B00"/>
    <w:rsid w:val="005B55E5"/>
    <w:rsid w:val="005B5F9D"/>
    <w:rsid w:val="005D2787"/>
    <w:rsid w:val="005D282C"/>
    <w:rsid w:val="005D4EBA"/>
    <w:rsid w:val="005E0B09"/>
    <w:rsid w:val="005E0F29"/>
    <w:rsid w:val="005E3E43"/>
    <w:rsid w:val="005E642F"/>
    <w:rsid w:val="005E73D3"/>
    <w:rsid w:val="005F1C0E"/>
    <w:rsid w:val="0060296B"/>
    <w:rsid w:val="00606BF0"/>
    <w:rsid w:val="00614242"/>
    <w:rsid w:val="006251FE"/>
    <w:rsid w:val="00633676"/>
    <w:rsid w:val="00640E69"/>
    <w:rsid w:val="0064282F"/>
    <w:rsid w:val="00645A5F"/>
    <w:rsid w:val="00653417"/>
    <w:rsid w:val="0065486E"/>
    <w:rsid w:val="006609DF"/>
    <w:rsid w:val="0066510D"/>
    <w:rsid w:val="00666B29"/>
    <w:rsid w:val="00671D22"/>
    <w:rsid w:val="00674933"/>
    <w:rsid w:val="00675D7D"/>
    <w:rsid w:val="00681A69"/>
    <w:rsid w:val="0069082E"/>
    <w:rsid w:val="006913FE"/>
    <w:rsid w:val="006940D6"/>
    <w:rsid w:val="006B2780"/>
    <w:rsid w:val="006C5125"/>
    <w:rsid w:val="006E1F39"/>
    <w:rsid w:val="006F09A2"/>
    <w:rsid w:val="006F3C91"/>
    <w:rsid w:val="006F4DA5"/>
    <w:rsid w:val="007057C1"/>
    <w:rsid w:val="00707944"/>
    <w:rsid w:val="00711517"/>
    <w:rsid w:val="007161B1"/>
    <w:rsid w:val="0073292B"/>
    <w:rsid w:val="00750BE7"/>
    <w:rsid w:val="00755ACE"/>
    <w:rsid w:val="00773629"/>
    <w:rsid w:val="00773E3A"/>
    <w:rsid w:val="0077530F"/>
    <w:rsid w:val="00784168"/>
    <w:rsid w:val="00795731"/>
    <w:rsid w:val="00797C58"/>
    <w:rsid w:val="007B5B9C"/>
    <w:rsid w:val="007B5D74"/>
    <w:rsid w:val="007C1681"/>
    <w:rsid w:val="007C40AE"/>
    <w:rsid w:val="007D551A"/>
    <w:rsid w:val="007D6518"/>
    <w:rsid w:val="007E40E5"/>
    <w:rsid w:val="007F0F88"/>
    <w:rsid w:val="007F2183"/>
    <w:rsid w:val="007F4457"/>
    <w:rsid w:val="007F76EE"/>
    <w:rsid w:val="007F7DA1"/>
    <w:rsid w:val="00804C61"/>
    <w:rsid w:val="00810822"/>
    <w:rsid w:val="00823161"/>
    <w:rsid w:val="008244D1"/>
    <w:rsid w:val="00832534"/>
    <w:rsid w:val="00833294"/>
    <w:rsid w:val="00834175"/>
    <w:rsid w:val="00842F1E"/>
    <w:rsid w:val="00857437"/>
    <w:rsid w:val="00860754"/>
    <w:rsid w:val="008610F4"/>
    <w:rsid w:val="0087555D"/>
    <w:rsid w:val="00877131"/>
    <w:rsid w:val="00877ACB"/>
    <w:rsid w:val="008803E5"/>
    <w:rsid w:val="00891AF3"/>
    <w:rsid w:val="008923BF"/>
    <w:rsid w:val="008A6BF7"/>
    <w:rsid w:val="008B50AF"/>
    <w:rsid w:val="008B5359"/>
    <w:rsid w:val="008C04CC"/>
    <w:rsid w:val="008C2435"/>
    <w:rsid w:val="008D37B0"/>
    <w:rsid w:val="008D3C29"/>
    <w:rsid w:val="008D57CA"/>
    <w:rsid w:val="008F57A0"/>
    <w:rsid w:val="008F69C2"/>
    <w:rsid w:val="009048B8"/>
    <w:rsid w:val="00906253"/>
    <w:rsid w:val="00915B28"/>
    <w:rsid w:val="00930FA0"/>
    <w:rsid w:val="00937650"/>
    <w:rsid w:val="00942922"/>
    <w:rsid w:val="009465CE"/>
    <w:rsid w:val="009474E6"/>
    <w:rsid w:val="0096424E"/>
    <w:rsid w:val="0096558A"/>
    <w:rsid w:val="00966E1A"/>
    <w:rsid w:val="00971639"/>
    <w:rsid w:val="009716AA"/>
    <w:rsid w:val="00971EBC"/>
    <w:rsid w:val="009742B6"/>
    <w:rsid w:val="009776AC"/>
    <w:rsid w:val="009865C2"/>
    <w:rsid w:val="00990ECA"/>
    <w:rsid w:val="009A13E1"/>
    <w:rsid w:val="009A5E1B"/>
    <w:rsid w:val="009B1E62"/>
    <w:rsid w:val="009B6CC8"/>
    <w:rsid w:val="009B7642"/>
    <w:rsid w:val="009C7E2C"/>
    <w:rsid w:val="009D5AAC"/>
    <w:rsid w:val="009F063A"/>
    <w:rsid w:val="009F23AE"/>
    <w:rsid w:val="00A20204"/>
    <w:rsid w:val="00A238FB"/>
    <w:rsid w:val="00A31845"/>
    <w:rsid w:val="00A318FD"/>
    <w:rsid w:val="00A36069"/>
    <w:rsid w:val="00A40F4A"/>
    <w:rsid w:val="00A4597A"/>
    <w:rsid w:val="00A53674"/>
    <w:rsid w:val="00A53AD7"/>
    <w:rsid w:val="00A54D17"/>
    <w:rsid w:val="00A555FF"/>
    <w:rsid w:val="00A5663F"/>
    <w:rsid w:val="00A65A47"/>
    <w:rsid w:val="00A7121E"/>
    <w:rsid w:val="00A76DD9"/>
    <w:rsid w:val="00A80B0B"/>
    <w:rsid w:val="00A86B8E"/>
    <w:rsid w:val="00A91F8B"/>
    <w:rsid w:val="00A92CF5"/>
    <w:rsid w:val="00A97FF7"/>
    <w:rsid w:val="00AA3F95"/>
    <w:rsid w:val="00AA7079"/>
    <w:rsid w:val="00AB1C64"/>
    <w:rsid w:val="00AB3438"/>
    <w:rsid w:val="00AB397A"/>
    <w:rsid w:val="00AC3609"/>
    <w:rsid w:val="00AD3A3C"/>
    <w:rsid w:val="00AD3C50"/>
    <w:rsid w:val="00AE12A9"/>
    <w:rsid w:val="00AE6263"/>
    <w:rsid w:val="00AF0D39"/>
    <w:rsid w:val="00AF1758"/>
    <w:rsid w:val="00AF1A0A"/>
    <w:rsid w:val="00AF20C3"/>
    <w:rsid w:val="00B01177"/>
    <w:rsid w:val="00B015F9"/>
    <w:rsid w:val="00B01814"/>
    <w:rsid w:val="00B064E6"/>
    <w:rsid w:val="00B137E7"/>
    <w:rsid w:val="00B13BA9"/>
    <w:rsid w:val="00B30287"/>
    <w:rsid w:val="00B30B8D"/>
    <w:rsid w:val="00B3317A"/>
    <w:rsid w:val="00B61662"/>
    <w:rsid w:val="00B711AB"/>
    <w:rsid w:val="00B76D90"/>
    <w:rsid w:val="00B841D0"/>
    <w:rsid w:val="00B85DD3"/>
    <w:rsid w:val="00B90AF8"/>
    <w:rsid w:val="00BA1BCE"/>
    <w:rsid w:val="00BB1ACD"/>
    <w:rsid w:val="00BB3B2B"/>
    <w:rsid w:val="00BB5105"/>
    <w:rsid w:val="00BD0CE3"/>
    <w:rsid w:val="00BD15CF"/>
    <w:rsid w:val="00BE733E"/>
    <w:rsid w:val="00C01FEB"/>
    <w:rsid w:val="00C05AB7"/>
    <w:rsid w:val="00C10867"/>
    <w:rsid w:val="00C3075D"/>
    <w:rsid w:val="00C3370A"/>
    <w:rsid w:val="00C46FD2"/>
    <w:rsid w:val="00C47C0E"/>
    <w:rsid w:val="00C5195A"/>
    <w:rsid w:val="00C565D9"/>
    <w:rsid w:val="00C61597"/>
    <w:rsid w:val="00C63BF4"/>
    <w:rsid w:val="00C65A90"/>
    <w:rsid w:val="00C67D7C"/>
    <w:rsid w:val="00C76948"/>
    <w:rsid w:val="00C76B25"/>
    <w:rsid w:val="00C9105C"/>
    <w:rsid w:val="00C91794"/>
    <w:rsid w:val="00C925FA"/>
    <w:rsid w:val="00C97DB1"/>
    <w:rsid w:val="00CA01E6"/>
    <w:rsid w:val="00CA5FEF"/>
    <w:rsid w:val="00CB0165"/>
    <w:rsid w:val="00CC1E6D"/>
    <w:rsid w:val="00CC1F2F"/>
    <w:rsid w:val="00CC6725"/>
    <w:rsid w:val="00CD246E"/>
    <w:rsid w:val="00CD4A98"/>
    <w:rsid w:val="00CE039E"/>
    <w:rsid w:val="00CE0420"/>
    <w:rsid w:val="00CE0B7D"/>
    <w:rsid w:val="00CE0F87"/>
    <w:rsid w:val="00D06387"/>
    <w:rsid w:val="00D13401"/>
    <w:rsid w:val="00D20837"/>
    <w:rsid w:val="00D26BFF"/>
    <w:rsid w:val="00D27E4F"/>
    <w:rsid w:val="00D302BE"/>
    <w:rsid w:val="00D3299B"/>
    <w:rsid w:val="00D33CCB"/>
    <w:rsid w:val="00D35382"/>
    <w:rsid w:val="00D36742"/>
    <w:rsid w:val="00D37FCD"/>
    <w:rsid w:val="00D4107F"/>
    <w:rsid w:val="00D44039"/>
    <w:rsid w:val="00D44534"/>
    <w:rsid w:val="00D57A46"/>
    <w:rsid w:val="00D60B7B"/>
    <w:rsid w:val="00D63304"/>
    <w:rsid w:val="00D6419E"/>
    <w:rsid w:val="00D675B3"/>
    <w:rsid w:val="00D75506"/>
    <w:rsid w:val="00D84515"/>
    <w:rsid w:val="00D85897"/>
    <w:rsid w:val="00D8633B"/>
    <w:rsid w:val="00D95826"/>
    <w:rsid w:val="00DA1A48"/>
    <w:rsid w:val="00DB1ECB"/>
    <w:rsid w:val="00DB5AB5"/>
    <w:rsid w:val="00DC29C6"/>
    <w:rsid w:val="00DD3768"/>
    <w:rsid w:val="00DE1812"/>
    <w:rsid w:val="00DF00EC"/>
    <w:rsid w:val="00E029DA"/>
    <w:rsid w:val="00E03013"/>
    <w:rsid w:val="00E04454"/>
    <w:rsid w:val="00E07288"/>
    <w:rsid w:val="00E116C0"/>
    <w:rsid w:val="00E16561"/>
    <w:rsid w:val="00E166FA"/>
    <w:rsid w:val="00E201BA"/>
    <w:rsid w:val="00E25520"/>
    <w:rsid w:val="00E25FBC"/>
    <w:rsid w:val="00E268BC"/>
    <w:rsid w:val="00E34B70"/>
    <w:rsid w:val="00E4735C"/>
    <w:rsid w:val="00E56BA4"/>
    <w:rsid w:val="00E57571"/>
    <w:rsid w:val="00E75D7C"/>
    <w:rsid w:val="00E7729D"/>
    <w:rsid w:val="00E817F1"/>
    <w:rsid w:val="00E82498"/>
    <w:rsid w:val="00E9024A"/>
    <w:rsid w:val="00E97EA4"/>
    <w:rsid w:val="00EB06AB"/>
    <w:rsid w:val="00EB2903"/>
    <w:rsid w:val="00EB6742"/>
    <w:rsid w:val="00EB6C0D"/>
    <w:rsid w:val="00EC247D"/>
    <w:rsid w:val="00EC3803"/>
    <w:rsid w:val="00EE21C0"/>
    <w:rsid w:val="00EE70AF"/>
    <w:rsid w:val="00F05298"/>
    <w:rsid w:val="00F05564"/>
    <w:rsid w:val="00F10E25"/>
    <w:rsid w:val="00F1255E"/>
    <w:rsid w:val="00F1368B"/>
    <w:rsid w:val="00F13D5D"/>
    <w:rsid w:val="00F20061"/>
    <w:rsid w:val="00F31B6F"/>
    <w:rsid w:val="00F32B82"/>
    <w:rsid w:val="00F4248B"/>
    <w:rsid w:val="00F42C14"/>
    <w:rsid w:val="00F435A4"/>
    <w:rsid w:val="00F436CB"/>
    <w:rsid w:val="00F506F3"/>
    <w:rsid w:val="00F51ADB"/>
    <w:rsid w:val="00F73ADE"/>
    <w:rsid w:val="00F91373"/>
    <w:rsid w:val="00F97085"/>
    <w:rsid w:val="00FB14B5"/>
    <w:rsid w:val="00FB24BB"/>
    <w:rsid w:val="00FB4BC8"/>
    <w:rsid w:val="00FC09A5"/>
    <w:rsid w:val="00FC5C39"/>
    <w:rsid w:val="00FC7554"/>
    <w:rsid w:val="00FD0B17"/>
    <w:rsid w:val="00FD1C5C"/>
    <w:rsid w:val="00FD27AE"/>
    <w:rsid w:val="00FD48E1"/>
    <w:rsid w:val="00FD6760"/>
    <w:rsid w:val="00FE2E3F"/>
    <w:rsid w:val="00FE670D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B0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i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color w:val="FF0000"/>
      <w:sz w:val="24"/>
    </w:rPr>
  </w:style>
  <w:style w:type="paragraph" w:styleId="Nadpis3">
    <w:name w:val="heading 3"/>
    <w:basedOn w:val="Normln"/>
    <w:next w:val="Normln"/>
    <w:qFormat/>
    <w:pPr>
      <w:keepNext/>
      <w:overflowPunct/>
      <w:autoSpaceDE/>
      <w:autoSpaceDN/>
      <w:adjustRightInd/>
      <w:spacing w:before="120" w:after="100" w:afterAutospacing="1"/>
      <w:jc w:val="both"/>
      <w:textAlignment w:val="auto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overflowPunct/>
      <w:autoSpaceDE/>
      <w:autoSpaceDN/>
      <w:adjustRightInd/>
      <w:spacing w:after="100" w:afterAutospacing="1"/>
      <w:jc w:val="both"/>
      <w:textAlignment w:val="auto"/>
      <w:outlineLvl w:val="3"/>
    </w:pPr>
    <w:rPr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iCs/>
      <w:color w:val="FF000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ind w:firstLine="360"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ind w:left="425" w:firstLine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widowControl w:val="0"/>
      <w:overflowPunct/>
      <w:autoSpaceDE/>
      <w:autoSpaceDN/>
      <w:spacing w:line="360" w:lineRule="auto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jc w:val="both"/>
    </w:pPr>
    <w:rPr>
      <w:i/>
      <w:iCs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b/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75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18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A31845"/>
    <w:pPr>
      <w:overflowPunct/>
      <w:autoSpaceDE/>
      <w:autoSpaceDN/>
      <w:adjustRightInd/>
      <w:ind w:firstLine="708"/>
      <w:jc w:val="both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31845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029DA"/>
    <w:pPr>
      <w:tabs>
        <w:tab w:val="left" w:pos="1100"/>
        <w:tab w:val="right" w:leader="dot" w:pos="9061"/>
      </w:tabs>
      <w:spacing w:after="100"/>
      <w:ind w:left="400" w:hanging="40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5E0B09"/>
    <w:pPr>
      <w:spacing w:after="1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20C3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AF20C3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B0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i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color w:val="FF0000"/>
      <w:sz w:val="24"/>
    </w:rPr>
  </w:style>
  <w:style w:type="paragraph" w:styleId="Nadpis3">
    <w:name w:val="heading 3"/>
    <w:basedOn w:val="Normln"/>
    <w:next w:val="Normln"/>
    <w:qFormat/>
    <w:pPr>
      <w:keepNext/>
      <w:overflowPunct/>
      <w:autoSpaceDE/>
      <w:autoSpaceDN/>
      <w:adjustRightInd/>
      <w:spacing w:before="120" w:after="100" w:afterAutospacing="1"/>
      <w:jc w:val="both"/>
      <w:textAlignment w:val="auto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overflowPunct/>
      <w:autoSpaceDE/>
      <w:autoSpaceDN/>
      <w:adjustRightInd/>
      <w:spacing w:after="100" w:afterAutospacing="1"/>
      <w:jc w:val="both"/>
      <w:textAlignment w:val="auto"/>
      <w:outlineLvl w:val="3"/>
    </w:pPr>
    <w:rPr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iCs/>
      <w:color w:val="FF000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ind w:firstLine="360"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ind w:left="425" w:firstLine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widowControl w:val="0"/>
      <w:overflowPunct/>
      <w:autoSpaceDE/>
      <w:autoSpaceDN/>
      <w:spacing w:line="360" w:lineRule="auto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jc w:val="both"/>
    </w:pPr>
    <w:rPr>
      <w:i/>
      <w:iCs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b/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75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18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A31845"/>
    <w:pPr>
      <w:overflowPunct/>
      <w:autoSpaceDE/>
      <w:autoSpaceDN/>
      <w:adjustRightInd/>
      <w:ind w:firstLine="708"/>
      <w:jc w:val="both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31845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029DA"/>
    <w:pPr>
      <w:tabs>
        <w:tab w:val="left" w:pos="1100"/>
        <w:tab w:val="right" w:leader="dot" w:pos="9061"/>
      </w:tabs>
      <w:spacing w:after="100"/>
      <w:ind w:left="400" w:hanging="40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5E0B09"/>
    <w:pPr>
      <w:spacing w:after="1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20C3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AF20C3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://www.mpo-efekt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www.mpo-efekt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://www.mpo-efekt.cz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trechova\EFEKT_2013\VYHODNOCEN&#205;_EFEKT2013\podklad_EF13_tabulky_pro_vyhodnocen&#23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trechova\EFEKT_2013\VYHODNOCEN&#205;_EFEKT2013\podklad_EF13_tabulky_pro_vyhodnocen&#23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trechova\EFEKT_2013\VYHODNOCEN&#205;_EFEKT2013\podklad_EF13_tabulky_pro_vyhodnocen&#23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trechova\EFEKT_2013\VYHODNOCEN&#205;_EFEKT2013\podklad_EF13_tabulky_pro_vyhodnocen&#23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trechova\EFEKT_2013\VYHODNOCEN&#205;_EFEKT2013\podklad_EF13_tabulky_pro_vyhodnocen&#23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trechova\EFEKT_2013\VYHODNOCEN&#205;_EFEKT2013\podklad_EF13_tabulky_pro_vyhodnocen&#23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trechova\EFEKT_2013\VYHODNOCEN&#205;_EFEKT2013\podklad_EF13_tabulky_pro_vyhodnocen&#23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trechova\EFEKT_2013\VYHODNOCEN&#205;_EFEKT2013\podklad_EF13_tabulky_pro_vyhodnocen&#23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trechova\EFEKT_2013\VYHODNOCEN&#205;_EFEKT2013\podklad_EF13_tabulky_pro_vyhodnocen&#2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Přidělené dotace</a:t>
            </a:r>
            <a:r>
              <a:rPr lang="cs-CZ"/>
              <a:t> 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15707083703611"/>
          <c:y val="0.26638451443569555"/>
          <c:w val="0.5493105861767279"/>
          <c:h val="0.64767096821230674"/>
        </c:manualLayout>
      </c:layout>
      <c:pie3DChart>
        <c:varyColors val="1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0.11904568127685339"/>
                  <c:y val="-3.55139982502187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7,43</a:t>
                    </a:r>
                    <a:r>
                      <a:rPr lang="cs-CZ"/>
                      <a:t> mil.Kč;</a:t>
                    </a:r>
                    <a:r>
                      <a:rPr lang="cs-CZ" baseline="0"/>
                      <a:t> </a:t>
                    </a:r>
                    <a:endParaRPr lang="cs-CZ"/>
                  </a:p>
                  <a:p>
                    <a:r>
                      <a:rPr lang="en-US"/>
                      <a:t> 27%</a:t>
                    </a:r>
                    <a:r>
                      <a:rPr lang="cs-CZ"/>
                      <a:t>; </a:t>
                    </a:r>
                  </a:p>
                  <a:p>
                    <a:r>
                      <a:rPr lang="cs-CZ"/>
                      <a:t>11 projektů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8913366480638432E-2"/>
                  <c:y val="1.12397929425488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20,36</a:t>
                    </a:r>
                    <a:r>
                      <a:rPr lang="cs-CZ"/>
                      <a:t> mil.Kč </a:t>
                    </a:r>
                    <a:r>
                      <a:rPr lang="en-US"/>
                      <a:t>; </a:t>
                    </a:r>
                    <a:endParaRPr lang="cs-CZ"/>
                  </a:p>
                  <a:p>
                    <a:r>
                      <a:rPr lang="cs-CZ"/>
                      <a:t>7</a:t>
                    </a:r>
                    <a:r>
                      <a:rPr lang="en-US"/>
                      <a:t>3%</a:t>
                    </a:r>
                    <a:r>
                      <a:rPr lang="cs-CZ"/>
                      <a:t>; </a:t>
                    </a:r>
                  </a:p>
                  <a:p>
                    <a:r>
                      <a:rPr lang="cs-CZ"/>
                      <a:t>143 projektů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graf1!$A$3:$A$4</c:f>
              <c:strCache>
                <c:ptCount val="2"/>
                <c:pt idx="0">
                  <c:v>Investiční projekty </c:v>
                </c:pt>
                <c:pt idx="1">
                  <c:v>Neinvestiční projekty</c:v>
                </c:pt>
              </c:strCache>
            </c:strRef>
          </c:cat>
          <c:val>
            <c:numRef>
              <c:f>graf1!$B$3:$B$4</c:f>
              <c:numCache>
                <c:formatCode>#,##0.000</c:formatCode>
                <c:ptCount val="2"/>
                <c:pt idx="0">
                  <c:v>7.43</c:v>
                </c:pt>
                <c:pt idx="1">
                  <c:v>20.361999999999998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Dotace</a:t>
            </a:r>
            <a:r>
              <a:rPr lang="cs-CZ"/>
              <a:t> a investice</a:t>
            </a:r>
            <a:r>
              <a:rPr lang="en-US"/>
              <a:t>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077893995484111E-2"/>
          <c:y val="0.12224910667442339"/>
          <c:w val="0.78462619635400077"/>
          <c:h val="0.534136309884341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graf2!$C$3</c:f>
              <c:strCache>
                <c:ptCount val="1"/>
                <c:pt idx="0">
                  <c:v>Celk. investiční náklady mil. Kč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3.8787875826265744E-3"/>
                  <c:y val="-1.2903225806451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graf2!$B$4:$B$9</c:f>
              <c:strCache>
                <c:ptCount val="6"/>
                <c:pt idx="0">
                  <c:v>A - Plán úspor</c:v>
                </c:pt>
                <c:pt idx="1">
                  <c:v>B - úspory energie</c:v>
                </c:pt>
                <c:pt idx="2">
                  <c:v>C - En. poradenství</c:v>
                </c:pt>
                <c:pt idx="3">
                  <c:v>D -  Propagace</c:v>
                </c:pt>
                <c:pt idx="4">
                  <c:v>E - En. management</c:v>
                </c:pt>
                <c:pt idx="5">
                  <c:v>F - Specifické proj.</c:v>
                </c:pt>
              </c:strCache>
            </c:strRef>
          </c:cat>
          <c:val>
            <c:numRef>
              <c:f>graf2!$C$4:$C$9</c:f>
              <c:numCache>
                <c:formatCode>#,##0.00</c:formatCode>
                <c:ptCount val="6"/>
                <c:pt idx="0">
                  <c:v>0.18983</c:v>
                </c:pt>
                <c:pt idx="1">
                  <c:v>21.626548</c:v>
                </c:pt>
                <c:pt idx="2">
                  <c:v>6.2537760000000002</c:v>
                </c:pt>
                <c:pt idx="3">
                  <c:v>12.425000000000001</c:v>
                </c:pt>
                <c:pt idx="4">
                  <c:v>3.3402500000000002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graf2!$D$3</c:f>
              <c:strCache>
                <c:ptCount val="1"/>
                <c:pt idx="0">
                  <c:v>Přidělená dotace  mil. Kč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1333331704446158E-2"/>
                  <c:y val="-1.2903225806451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454544121819585E-2"/>
                  <c:y val="-1.2903225806451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3939379131328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212119287072805E-2"/>
                  <c:y val="-1.2903225806451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393937913132871E-2"/>
                  <c:y val="-1.2903225806451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454544121819585E-2"/>
                  <c:y val="-4.30107526881720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graf2!$B$4:$B$9</c:f>
              <c:strCache>
                <c:ptCount val="6"/>
                <c:pt idx="0">
                  <c:v>A - Plán úspor</c:v>
                </c:pt>
                <c:pt idx="1">
                  <c:v>B - úspory energie</c:v>
                </c:pt>
                <c:pt idx="2">
                  <c:v>C - En. poradenství</c:v>
                </c:pt>
                <c:pt idx="3">
                  <c:v>D -  Propagace</c:v>
                </c:pt>
                <c:pt idx="4">
                  <c:v>E - En. management</c:v>
                </c:pt>
                <c:pt idx="5">
                  <c:v>F - Specifické proj.</c:v>
                </c:pt>
              </c:strCache>
            </c:strRef>
          </c:cat>
          <c:val>
            <c:numRef>
              <c:f>graf2!$D$4:$D$9</c:f>
              <c:numCache>
                <c:formatCode>#,##0.00</c:formatCode>
                <c:ptCount val="6"/>
                <c:pt idx="0">
                  <c:v>7.5931999999999999E-2</c:v>
                </c:pt>
                <c:pt idx="1">
                  <c:v>7.4308500000000004</c:v>
                </c:pt>
                <c:pt idx="2">
                  <c:v>6.2537760000000002</c:v>
                </c:pt>
                <c:pt idx="3">
                  <c:v>11.6</c:v>
                </c:pt>
                <c:pt idx="4">
                  <c:v>2.4376699999999998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715904"/>
        <c:axId val="94717440"/>
        <c:axId val="0"/>
      </c:bar3DChart>
      <c:catAx>
        <c:axId val="9471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94717440"/>
        <c:crosses val="autoZero"/>
        <c:auto val="1"/>
        <c:lblAlgn val="ctr"/>
        <c:lblOffset val="100"/>
        <c:noMultiLvlLbl val="0"/>
      </c:catAx>
      <c:valAx>
        <c:axId val="9471744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9471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733955285292308"/>
          <c:y val="0.19833172466344934"/>
          <c:w val="0.1201703004946164"/>
          <c:h val="0.681681822030310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Přidělená dotace  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601299178251664E-2"/>
          <c:y val="0.31342356529758103"/>
          <c:w val="0.53900842121077142"/>
          <c:h val="0.64693679506277935"/>
        </c:manualLayout>
      </c:layout>
      <c:pie3DChart>
        <c:varyColors val="1"/>
        <c:ser>
          <c:idx val="0"/>
          <c:order val="0"/>
          <c:tx>
            <c:strRef>
              <c:f>graf3!$C$2</c:f>
              <c:strCache>
                <c:ptCount val="1"/>
                <c:pt idx="0">
                  <c:v>Přidělená dotace  mil. Kč</c:v>
                </c:pt>
              </c:strCache>
            </c:strRef>
          </c:tx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7"/>
            <c:bubble3D val="0"/>
            <c:spPr>
              <a:solidFill>
                <a:srgbClr val="FDD7EF"/>
              </a:solidFill>
            </c:spPr>
          </c:dPt>
          <c:dPt>
            <c:idx val="9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>
                <c:manualLayout>
                  <c:x val="0.11112045395321543"/>
                  <c:y val="-9.1470241895438745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A;</a:t>
                    </a:r>
                  </a:p>
                  <a:p>
                    <a:r>
                      <a:rPr lang="en-US"/>
                      <a:t>0,08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904151832506086"/>
                  <c:y val="-6.9247927586764263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B1</a:t>
                    </a:r>
                  </a:p>
                  <a:p>
                    <a:r>
                      <a:rPr lang="en-US"/>
                      <a:t>3,60</a:t>
                    </a:r>
                    <a:r>
                      <a:rPr lang="cs-CZ" baseline="0"/>
                      <a:t> mil.Kč</a:t>
                    </a:r>
                  </a:p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3970097797181292E-2"/>
                  <c:y val="-3.2340884075707545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B2</a:t>
                    </a:r>
                  </a:p>
                  <a:p>
                    <a:r>
                      <a:rPr lang="cs-CZ"/>
                      <a:t> </a:t>
                    </a:r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4921563022443975E-2"/>
                  <c:y val="-2.9956358094534372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B3</a:t>
                    </a:r>
                  </a:p>
                  <a:p>
                    <a:r>
                      <a:rPr lang="en-US"/>
                      <a:t>3,83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4116577012031912E-2"/>
                  <c:y val="-9.3269602296780357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B4 </a:t>
                    </a:r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3.7873666302616148E-2"/>
                  <c:y val="2.5198552883592254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C</a:t>
                    </a:r>
                  </a:p>
                  <a:p>
                    <a:r>
                      <a:rPr lang="cs-CZ"/>
                      <a:t> </a:t>
                    </a:r>
                    <a:r>
                      <a:rPr lang="en-US"/>
                      <a:t>6,25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0437438807720946"/>
                  <c:y val="-2.1577073136128253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D1</a:t>
                    </a:r>
                  </a:p>
                  <a:p>
                    <a:r>
                      <a:rPr lang="cs-CZ"/>
                      <a:t> </a:t>
                    </a:r>
                    <a:r>
                      <a:rPr lang="en-US"/>
                      <a:t>3,30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3103416132803322E-2"/>
                  <c:y val="-1.8175214584663403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D2</a:t>
                    </a:r>
                  </a:p>
                  <a:p>
                    <a:r>
                      <a:rPr lang="en-US"/>
                      <a:t>8,30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1977755255840544"/>
                  <c:y val="-2.3100191654929123E-3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E1 </a:t>
                    </a:r>
                  </a:p>
                  <a:p>
                    <a:r>
                      <a:rPr lang="en-US"/>
                      <a:t>0,92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 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4.8865573426010056E-2"/>
                  <c:y val="-8.3276441796126838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E2</a:t>
                    </a:r>
                  </a:p>
                  <a:p>
                    <a:r>
                      <a:rPr lang="en-US"/>
                      <a:t>1,51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1.9802673180703896E-2"/>
                  <c:y val="-8.6659123621277548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F;  </a:t>
                    </a:r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graf3!$B$3:$B$13</c:f>
              <c:strCache>
                <c:ptCount val="11"/>
                <c:pt idx="0">
                  <c:v>A - Plán úspor</c:v>
                </c:pt>
                <c:pt idx="1">
                  <c:v>B1- osvětlení</c:v>
                </c:pt>
                <c:pt idx="2">
                  <c:v>B2- úspory v průmyslu</c:v>
                </c:pt>
                <c:pt idx="3">
                  <c:v>B3- otopná soustava</c:v>
                </c:pt>
                <c:pt idx="4">
                  <c:v>B4 - odpadní energie</c:v>
                </c:pt>
                <c:pt idx="5">
                  <c:v>C - Energetické poradenství</c:v>
                </c:pt>
                <c:pt idx="6">
                  <c:v>D.1 - Kurz, seminář </c:v>
                </c:pt>
                <c:pt idx="7">
                  <c:v>D.2 - Publikace, příručky </c:v>
                </c:pt>
                <c:pt idx="8">
                  <c:v>E.1 - Ergetický management </c:v>
                </c:pt>
                <c:pt idx="9">
                  <c:v>E.2 - Příprava projektů  EPC</c:v>
                </c:pt>
                <c:pt idx="10">
                  <c:v>F - Specifické projekty</c:v>
                </c:pt>
              </c:strCache>
            </c:strRef>
          </c:cat>
          <c:val>
            <c:numRef>
              <c:f>graf3!$C$3:$C$13</c:f>
              <c:numCache>
                <c:formatCode>#,##0.00</c:formatCode>
                <c:ptCount val="11"/>
                <c:pt idx="0">
                  <c:v>7.5931999999999999E-2</c:v>
                </c:pt>
                <c:pt idx="1">
                  <c:v>3.5976499999999998</c:v>
                </c:pt>
                <c:pt idx="2" formatCode="#,##0">
                  <c:v>0</c:v>
                </c:pt>
                <c:pt idx="3">
                  <c:v>3.8332000000000002</c:v>
                </c:pt>
                <c:pt idx="4" formatCode="#,##0">
                  <c:v>0</c:v>
                </c:pt>
                <c:pt idx="5">
                  <c:v>6.2537760000000002</c:v>
                </c:pt>
                <c:pt idx="6">
                  <c:v>3.3</c:v>
                </c:pt>
                <c:pt idx="7">
                  <c:v>8.3000000000000007</c:v>
                </c:pt>
                <c:pt idx="8">
                  <c:v>0.92479999999999996</c:v>
                </c:pt>
                <c:pt idx="9">
                  <c:v>1.5079670000000001</c:v>
                </c:pt>
                <c:pt idx="10" formatCode="#,##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542718051332695"/>
          <c:y val="6.047385968645811E-2"/>
          <c:w val="0.20360056478088753"/>
          <c:h val="0.922205575654394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Dotace podle typu příjemce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26036086714932"/>
          <c:y val="0.26517273576097106"/>
          <c:w val="0.41127007062809823"/>
          <c:h val="0.52567693744164334"/>
        </c:manualLayout>
      </c:layout>
      <c:pie3DChart>
        <c:varyColors val="1"/>
        <c:ser>
          <c:idx val="0"/>
          <c:order val="0"/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B3FF"/>
              </a:solidFill>
            </c:spPr>
          </c:dPt>
          <c:dPt>
            <c:idx val="5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</c:dPt>
          <c:dPt>
            <c:idx val="7"/>
            <c:bubble3D val="0"/>
            <c:spPr>
              <a:solidFill>
                <a:srgbClr val="FFFF00"/>
              </a:solidFill>
            </c:spPr>
          </c:dPt>
          <c:dPt>
            <c:idx val="8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2"/>
            <c:bubble3D val="0"/>
            <c:spPr>
              <a:solidFill>
                <a:srgbClr val="FF9999"/>
              </a:solidFill>
            </c:spPr>
          </c:dPt>
          <c:dLbls>
            <c:dLbl>
              <c:idx val="0"/>
              <c:layout>
                <c:manualLayout>
                  <c:x val="8.9184898526243908E-2"/>
                  <c:y val="-5.8306241131623256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</a:t>
                    </a:r>
                    <a:r>
                      <a:rPr lang="en-US"/>
                      <a:t>; 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4507299675205182E-2"/>
                  <c:y val="-2.10926575354551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cs-CZ"/>
                      <a:t>2; </a:t>
                    </a:r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2221978668669576E-2"/>
                  <c:y val="4.1318952777961576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3; </a:t>
                    </a:r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9737568788678242E-2"/>
                  <c:y val="7.8050243719535062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4; </a:t>
                    </a:r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4502415401534512E-2"/>
                  <c:y val="5.5738620907680655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5</a:t>
                    </a:r>
                    <a:r>
                      <a:rPr lang="en-US"/>
                      <a:t>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7.0384509910666568E-2"/>
                  <c:y val="5.314247483770411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6</a:t>
                    </a:r>
                    <a:r>
                      <a:rPr lang="en-US"/>
                      <a:t>; 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4.8553338801301693E-2"/>
                  <c:y val="3.5949035782291916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7</a:t>
                    </a:r>
                    <a:r>
                      <a:rPr lang="en-US"/>
                      <a:t>; 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1675305869039553"/>
                  <c:y val="2.7137490166670341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8</a:t>
                    </a:r>
                    <a:r>
                      <a:rPr lang="en-US"/>
                      <a:t>; 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0679892771118621"/>
                  <c:y val="-3.5930802767301144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9</a:t>
                    </a:r>
                    <a:r>
                      <a:rPr lang="en-US"/>
                      <a:t>; 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5.3478497157146344E-2"/>
                  <c:y val="-9.766661520251145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</a:t>
                    </a:r>
                    <a:r>
                      <a:rPr lang="en-US"/>
                      <a:t>0; 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1105625076023626E-2"/>
                  <c:y val="-0.10978539447274974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11</a:t>
                    </a:r>
                    <a:r>
                      <a:rPr lang="en-US"/>
                      <a:t>; 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8.8276523685444058E-2"/>
                  <c:y val="-0.1275258239778851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12</a:t>
                    </a:r>
                    <a:r>
                      <a:rPr lang="en-US"/>
                      <a:t>; 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0.12885664531699156"/>
                  <c:y val="-7.9095995353521992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13</a:t>
                    </a:r>
                    <a:r>
                      <a:rPr lang="en-US"/>
                      <a:t>; 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graf4!$B$3:$B$15</c:f>
              <c:strCache>
                <c:ptCount val="13"/>
                <c:pt idx="0">
                  <c:v>1  FYZICKÉ OSOBY</c:v>
                </c:pt>
                <c:pt idx="1">
                  <c:v>2  PRAVNICKÉ OSOBY</c:v>
                </c:pt>
                <c:pt idx="2">
                  <c:v>3  O.P.S.</c:v>
                </c:pt>
                <c:pt idx="3">
                  <c:v>4  OBČANSKÁ SDRUŽENÍ</c:v>
                </c:pt>
                <c:pt idx="4">
                  <c:v>5  CÍRKEVNÍ A NÁBOŽ. SPOL.</c:v>
                </c:pt>
                <c:pt idx="5">
                  <c:v>6  OSTATNÍ NEZISK. ORG.</c:v>
                </c:pt>
                <c:pt idx="6">
                  <c:v>7  OBCE</c:v>
                </c:pt>
                <c:pt idx="7">
                  <c:v>8  KRAJE</c:v>
                </c:pt>
                <c:pt idx="8">
                  <c:v>9  VŠ</c:v>
                </c:pt>
                <c:pt idx="9">
                  <c:v>10 VEŘ. VÝZKUMNÉ INSTITUCE</c:v>
                </c:pt>
                <c:pt idx="10">
                  <c:v>11 ŠKOLSKÉ ORGANIZACE</c:v>
                </c:pt>
                <c:pt idx="11">
                  <c:v>12 ZDRAVOTNÍ. ZAŘÍZENÍ</c:v>
                </c:pt>
                <c:pt idx="12">
                  <c:v>13 OST. PŘÍSPĚVKOVÉ ORG.</c:v>
                </c:pt>
              </c:strCache>
            </c:strRef>
          </c:cat>
          <c:val>
            <c:numRef>
              <c:f>graf4!$C$3:$C$15</c:f>
              <c:numCache>
                <c:formatCode>#,##0</c:formatCode>
                <c:ptCount val="13"/>
                <c:pt idx="0">
                  <c:v>2488303</c:v>
                </c:pt>
                <c:pt idx="1">
                  <c:v>6703313</c:v>
                </c:pt>
                <c:pt idx="2">
                  <c:v>2242156</c:v>
                </c:pt>
                <c:pt idx="3">
                  <c:v>3984004</c:v>
                </c:pt>
                <c:pt idx="4">
                  <c:v>1500000</c:v>
                </c:pt>
                <c:pt idx="5">
                  <c:v>1495020</c:v>
                </c:pt>
                <c:pt idx="6">
                  <c:v>5072126</c:v>
                </c:pt>
                <c:pt idx="7">
                  <c:v>700800</c:v>
                </c:pt>
                <c:pt idx="8">
                  <c:v>300000</c:v>
                </c:pt>
                <c:pt idx="9">
                  <c:v>150000</c:v>
                </c:pt>
                <c:pt idx="10">
                  <c:v>0</c:v>
                </c:pt>
                <c:pt idx="11">
                  <c:v>0</c:v>
                </c:pt>
                <c:pt idx="12">
                  <c:v>3157603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405811826273768"/>
          <c:y val="0.14953277899086143"/>
          <c:w val="0.2838102569425125"/>
          <c:h val="0.82418374173816511"/>
        </c:manualLayout>
      </c:layout>
      <c:overlay val="0"/>
      <c:txPr>
        <a:bodyPr/>
        <a:lstStyle/>
        <a:p>
          <a:pPr>
            <a:defRPr sz="8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Úspory energie a CO</a:t>
            </a:r>
            <a:r>
              <a:rPr lang="cs-CZ" baseline="-25000"/>
              <a:t>2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482127338076083E-2"/>
          <c:y val="0.17576640419947509"/>
          <c:w val="0.76841362383778566"/>
          <c:h val="0.554466207349081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graf4!$C$2</c:f>
              <c:strCache>
                <c:ptCount val="1"/>
                <c:pt idx="0">
                  <c:v>úspora GJ/rok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dLbl>
              <c:idx val="0"/>
              <c:layout>
                <c:manualLayout>
                  <c:x val="7.3317604274292625E-2"/>
                  <c:y val="7.606263982102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1222815580741408E-2"/>
                  <c:y val="9.395973154362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graf4!$B$3:$B$6</c:f>
              <c:strCache>
                <c:ptCount val="4"/>
                <c:pt idx="0">
                  <c:v>B.1 - Veřejné osvětlení</c:v>
                </c:pt>
                <c:pt idx="1">
                  <c:v>B.2 - Úspory energie v průmyslu</c:v>
                </c:pt>
                <c:pt idx="2">
                  <c:v>B.3 -Otopná soustava</c:v>
                </c:pt>
                <c:pt idx="3">
                  <c:v>B.4 - Využití odpadní energie</c:v>
                </c:pt>
              </c:strCache>
            </c:strRef>
          </c:cat>
          <c:val>
            <c:numRef>
              <c:f>graf4!$C$3:$C$6</c:f>
              <c:numCache>
                <c:formatCode>#,##0</c:formatCode>
                <c:ptCount val="4"/>
                <c:pt idx="0">
                  <c:v>3251</c:v>
                </c:pt>
                <c:pt idx="1">
                  <c:v>0</c:v>
                </c:pt>
                <c:pt idx="2">
                  <c:v>3364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graf4!$D$2</c:f>
              <c:strCache>
                <c:ptCount val="1"/>
                <c:pt idx="0">
                  <c:v>úspora CO2 t/rok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1421830403268264E-2"/>
                  <c:y val="-8.948545861297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85309824196096E-2"/>
                  <c:y val="-8.948545861297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graf4!$B$3:$B$6</c:f>
              <c:strCache>
                <c:ptCount val="4"/>
                <c:pt idx="0">
                  <c:v>B.1 - Veřejné osvětlení</c:v>
                </c:pt>
                <c:pt idx="1">
                  <c:v>B.2 - Úspory energie v průmyslu</c:v>
                </c:pt>
                <c:pt idx="2">
                  <c:v>B.3 -Otopná soustava</c:v>
                </c:pt>
                <c:pt idx="3">
                  <c:v>B.4 - Využití odpadní energie</c:v>
                </c:pt>
              </c:strCache>
            </c:strRef>
          </c:cat>
          <c:val>
            <c:numRef>
              <c:f>graf4!$D$3:$D$6</c:f>
              <c:numCache>
                <c:formatCode>#,##0</c:formatCode>
                <c:ptCount val="4"/>
                <c:pt idx="0">
                  <c:v>1108</c:v>
                </c:pt>
                <c:pt idx="1">
                  <c:v>0</c:v>
                </c:pt>
                <c:pt idx="2">
                  <c:v>236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812800"/>
        <c:axId val="94818688"/>
        <c:axId val="0"/>
      </c:bar3DChart>
      <c:catAx>
        <c:axId val="9481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94818688"/>
        <c:crosses val="autoZero"/>
        <c:auto val="1"/>
        <c:lblAlgn val="ctr"/>
        <c:lblOffset val="100"/>
        <c:noMultiLvlLbl val="0"/>
      </c:catAx>
      <c:valAx>
        <c:axId val="948186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9481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958821910988247"/>
          <c:y val="0.26350503062117236"/>
          <c:w val="0.13713382333031998"/>
          <c:h val="0.380397346165062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Investiční dotace a celkové náklady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194968311901757E-2"/>
          <c:y val="0.13010425780110821"/>
          <c:w val="0.73038604549431319"/>
          <c:h val="0.663105132691746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'graf 5'!$C$3</c:f>
              <c:strCache>
                <c:ptCount val="1"/>
                <c:pt idx="0">
                  <c:v>přidělená 
dotace mil. Kč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 5'!$B$4:$B$7</c:f>
              <c:strCache>
                <c:ptCount val="4"/>
                <c:pt idx="0">
                  <c:v>B.1 -Veřejné osvětlení</c:v>
                </c:pt>
                <c:pt idx="1">
                  <c:v>B.2 - Úspory v průmyslu</c:v>
                </c:pt>
                <c:pt idx="2">
                  <c:v>B.3 - Otopná soustava </c:v>
                </c:pt>
                <c:pt idx="3">
                  <c:v>B.4 - Využití odpadní energie</c:v>
                </c:pt>
              </c:strCache>
            </c:strRef>
          </c:cat>
          <c:val>
            <c:numRef>
              <c:f>'graf 5'!$C$4:$C$7</c:f>
              <c:numCache>
                <c:formatCode>#,##0</c:formatCode>
                <c:ptCount val="4"/>
                <c:pt idx="0" formatCode="#,##0.00">
                  <c:v>3.5976499999999998</c:v>
                </c:pt>
                <c:pt idx="1">
                  <c:v>0</c:v>
                </c:pt>
                <c:pt idx="2" formatCode="#,##0.00">
                  <c:v>3.8332000000000002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'graf 5'!$D$3</c:f>
              <c:strCache>
                <c:ptCount val="1"/>
                <c:pt idx="0">
                  <c:v>celkové investiční náklady mil. Kč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 5'!$B$4:$B$7</c:f>
              <c:strCache>
                <c:ptCount val="4"/>
                <c:pt idx="0">
                  <c:v>B.1 -Veřejné osvětlení</c:v>
                </c:pt>
                <c:pt idx="1">
                  <c:v>B.2 - Úspory v průmyslu</c:v>
                </c:pt>
                <c:pt idx="2">
                  <c:v>B.3 - Otopná soustava </c:v>
                </c:pt>
                <c:pt idx="3">
                  <c:v>B.4 - Využití odpadní energie</c:v>
                </c:pt>
              </c:strCache>
            </c:strRef>
          </c:cat>
          <c:val>
            <c:numRef>
              <c:f>'graf 5'!$D$4:$D$7</c:f>
              <c:numCache>
                <c:formatCode>#,##0</c:formatCode>
                <c:ptCount val="4"/>
                <c:pt idx="0" formatCode="#,##0.00">
                  <c:v>9.0754479999999997</c:v>
                </c:pt>
                <c:pt idx="1">
                  <c:v>0</c:v>
                </c:pt>
                <c:pt idx="2" formatCode="#,##0.00">
                  <c:v>12.5511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828800"/>
        <c:axId val="94838784"/>
        <c:axId val="0"/>
      </c:bar3DChart>
      <c:catAx>
        <c:axId val="9482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94838784"/>
        <c:crosses val="autoZero"/>
        <c:auto val="1"/>
        <c:lblAlgn val="ctr"/>
        <c:lblOffset val="100"/>
        <c:noMultiLvlLbl val="0"/>
      </c:catAx>
      <c:valAx>
        <c:axId val="9483878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9482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228533673156224"/>
          <c:y val="0.14738043161271508"/>
          <c:w val="0.12049249439013228"/>
          <c:h val="0.677461358996792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P</a:t>
            </a:r>
            <a:r>
              <a:rPr lang="en-US"/>
              <a:t>řidělen</a:t>
            </a:r>
            <a:r>
              <a:rPr lang="cs-CZ"/>
              <a:t>é</a:t>
            </a:r>
            <a:r>
              <a:rPr lang="cs-CZ" baseline="0"/>
              <a:t> investiční </a:t>
            </a:r>
            <a:r>
              <a:rPr lang="cs-CZ"/>
              <a:t>dotace 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6290647076112"/>
          <c:y val="0.22992894180910314"/>
          <c:w val="0.61378835317495295"/>
          <c:h val="0.61435832716032457"/>
        </c:manualLayout>
      </c:layout>
      <c:pie3DChart>
        <c:varyColors val="1"/>
        <c:ser>
          <c:idx val="0"/>
          <c:order val="0"/>
          <c:tx>
            <c:strRef>
              <c:f>'graf 5'!$C$21</c:f>
              <c:strCache>
                <c:ptCount val="1"/>
                <c:pt idx="0">
                  <c:v>přidělená 
dotace mil. Kč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rgbClr val="FFFF66"/>
              </a:solidFill>
            </c:spPr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1.142848733083162E-2"/>
                  <c:y val="-3.9949884313241332E-3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B1; </a:t>
                    </a:r>
                  </a:p>
                  <a:p>
                    <a:r>
                      <a:rPr lang="cs-CZ"/>
                      <a:t>7 projektů; </a:t>
                    </a:r>
                  </a:p>
                  <a:p>
                    <a:r>
                      <a:rPr lang="en-US"/>
                      <a:t>3,60</a:t>
                    </a:r>
                    <a:r>
                      <a:rPr lang="cs-CZ"/>
                      <a:t> mil. Kč</a:t>
                    </a:r>
                    <a:r>
                      <a:rPr lang="en-US"/>
                      <a:t>; </a:t>
                    </a:r>
                    <a:endParaRPr lang="cs-CZ"/>
                  </a:p>
                  <a:p>
                    <a:r>
                      <a:rPr lang="en-US"/>
                      <a:t>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9894319532817905E-2"/>
                  <c:y val="-0.16602888053627443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B.3; </a:t>
                    </a:r>
                  </a:p>
                  <a:p>
                    <a:r>
                      <a:rPr lang="cs-CZ"/>
                      <a:t>4 projekty; </a:t>
                    </a:r>
                  </a:p>
                  <a:p>
                    <a:r>
                      <a:rPr lang="en-US"/>
                      <a:t>3,83</a:t>
                    </a:r>
                    <a:r>
                      <a:rPr lang="cs-CZ"/>
                      <a:t> mil. Kč</a:t>
                    </a:r>
                    <a:r>
                      <a:rPr lang="en-US"/>
                      <a:t>; </a:t>
                    </a:r>
                    <a:endParaRPr lang="cs-CZ"/>
                  </a:p>
                  <a:p>
                    <a:r>
                      <a:rPr lang="en-US"/>
                      <a:t>52%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'graf 5'!$B$22:$B$23</c:f>
              <c:strCache>
                <c:ptCount val="2"/>
                <c:pt idx="0">
                  <c:v>B.1 -Veřejné osvětlení</c:v>
                </c:pt>
                <c:pt idx="1">
                  <c:v>B.3 - Otopná soustava </c:v>
                </c:pt>
              </c:strCache>
            </c:strRef>
          </c:cat>
          <c:val>
            <c:numRef>
              <c:f>'graf 5'!$C$22:$C$23</c:f>
              <c:numCache>
                <c:formatCode>#,##0.00</c:formatCode>
                <c:ptCount val="2"/>
                <c:pt idx="0">
                  <c:v>3.5976499999999998</c:v>
                </c:pt>
                <c:pt idx="1">
                  <c:v>3.8332000000000002</c:v>
                </c:pt>
              </c:numCache>
            </c:numRef>
          </c:val>
        </c:ser>
        <c:ser>
          <c:idx val="1"/>
          <c:order val="1"/>
          <c:tx>
            <c:strRef>
              <c:f>'graf 5'!$D$21</c:f>
              <c:strCache>
                <c:ptCount val="1"/>
                <c:pt idx="0">
                  <c:v>celkové investiční náklady mil. Kč</c:v>
                </c:pt>
              </c:strCache>
            </c:strRef>
          </c:tx>
          <c:cat>
            <c:strRef>
              <c:f>'graf 5'!$B$22:$B$23</c:f>
              <c:strCache>
                <c:ptCount val="2"/>
                <c:pt idx="0">
                  <c:v>B.1 -Veřejné osvětlení</c:v>
                </c:pt>
                <c:pt idx="1">
                  <c:v>B.3 - Otopná soustava </c:v>
                </c:pt>
              </c:strCache>
            </c:strRef>
          </c:cat>
          <c:val>
            <c:numRef>
              <c:f>'graf 5'!$D$22:$D$23</c:f>
              <c:numCache>
                <c:formatCode>#,##0.00</c:formatCode>
                <c:ptCount val="2"/>
                <c:pt idx="0">
                  <c:v>9.0754479999999997</c:v>
                </c:pt>
                <c:pt idx="1">
                  <c:v>12.5511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97778474937861"/>
          <c:y val="0.24171710243536632"/>
          <c:w val="0.22291881564320376"/>
          <c:h val="0.456054944351468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Neinvestiční dotace a celkové náklady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27029857386542E-2"/>
          <c:y val="0.16021265198992984"/>
          <c:w val="0.78365318009054474"/>
          <c:h val="0.69219383397970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graf8!$B$2</c:f>
              <c:strCache>
                <c:ptCount val="1"/>
                <c:pt idx="0">
                  <c:v>Celk. investiční náklady mil. Kč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dLbl>
              <c:idx val="0"/>
              <c:layout>
                <c:manualLayout>
                  <c:x val="1.1157600135507756E-2"/>
                  <c:y val="-1.020408163265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3891201626092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graf8!$A$3:$A$7</c:f>
              <c:strCache>
                <c:ptCount val="5"/>
                <c:pt idx="0">
                  <c:v>A - Plán úspor</c:v>
                </c:pt>
                <c:pt idx="1">
                  <c:v>C - Energet. poradenství</c:v>
                </c:pt>
                <c:pt idx="2">
                  <c:v>D - Propagace</c:v>
                </c:pt>
                <c:pt idx="3">
                  <c:v>E - Energet. management</c:v>
                </c:pt>
                <c:pt idx="4">
                  <c:v>F - Specifické projekty</c:v>
                </c:pt>
              </c:strCache>
            </c:strRef>
          </c:cat>
          <c:val>
            <c:numRef>
              <c:f>graf8!$B$3:$B$7</c:f>
              <c:numCache>
                <c:formatCode>#,##0.00</c:formatCode>
                <c:ptCount val="5"/>
                <c:pt idx="0">
                  <c:v>0.18983</c:v>
                </c:pt>
                <c:pt idx="1">
                  <c:v>6.2537760000000002</c:v>
                </c:pt>
                <c:pt idx="2">
                  <c:v>12.425000000000001</c:v>
                </c:pt>
                <c:pt idx="3">
                  <c:v>3.3402500000000002</c:v>
                </c:pt>
                <c:pt idx="4" formatCode="#,##0">
                  <c:v>0</c:v>
                </c:pt>
              </c:numCache>
            </c:numRef>
          </c:val>
        </c:ser>
        <c:ser>
          <c:idx val="1"/>
          <c:order val="1"/>
          <c:tx>
            <c:strRef>
              <c:f>graf8!$C$2</c:f>
              <c:strCache>
                <c:ptCount val="1"/>
                <c:pt idx="0">
                  <c:v>Přidělená dotace mil. Kč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2315200271015471E-2"/>
                  <c:y val="-1.360544217687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0097603523200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315200271015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315200271015471E-2"/>
                  <c:y val="-1.020408163265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graf8!$A$3:$A$7</c:f>
              <c:strCache>
                <c:ptCount val="5"/>
                <c:pt idx="0">
                  <c:v>A - Plán úspor</c:v>
                </c:pt>
                <c:pt idx="1">
                  <c:v>C - Energet. poradenství</c:v>
                </c:pt>
                <c:pt idx="2">
                  <c:v>D - Propagace</c:v>
                </c:pt>
                <c:pt idx="3">
                  <c:v>E - Energet. management</c:v>
                </c:pt>
                <c:pt idx="4">
                  <c:v>F - Specifické projekty</c:v>
                </c:pt>
              </c:strCache>
            </c:strRef>
          </c:cat>
          <c:val>
            <c:numRef>
              <c:f>graf8!$C$3:$C$7</c:f>
              <c:numCache>
                <c:formatCode>#,##0.00</c:formatCode>
                <c:ptCount val="5"/>
                <c:pt idx="0">
                  <c:v>7.5931999999999999E-2</c:v>
                </c:pt>
                <c:pt idx="1">
                  <c:v>6.2537760000000002</c:v>
                </c:pt>
                <c:pt idx="2">
                  <c:v>11.6</c:v>
                </c:pt>
                <c:pt idx="3">
                  <c:v>0.24376700000000001</c:v>
                </c:pt>
                <c:pt idx="4" formatCode="#,##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893568"/>
        <c:axId val="94895104"/>
        <c:axId val="0"/>
      </c:bar3DChart>
      <c:catAx>
        <c:axId val="9489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94895104"/>
        <c:crosses val="autoZero"/>
        <c:auto val="1"/>
        <c:lblAlgn val="ctr"/>
        <c:lblOffset val="100"/>
        <c:noMultiLvlLbl val="0"/>
      </c:catAx>
      <c:valAx>
        <c:axId val="9489510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94893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36082969035787"/>
          <c:y val="0.25141866195297019"/>
          <c:w val="0.13024997081295644"/>
          <c:h val="0.405325941400182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Přidělen</a:t>
            </a:r>
            <a:r>
              <a:rPr lang="cs-CZ"/>
              <a:t>é</a:t>
            </a:r>
            <a:r>
              <a:rPr lang="cs-CZ" baseline="0"/>
              <a:t> neinvestiční</a:t>
            </a:r>
            <a:r>
              <a:rPr lang="en-US"/>
              <a:t> dotace </a:t>
            </a:r>
          </a:p>
        </c:rich>
      </c:tx>
      <c:layout>
        <c:manualLayout>
          <c:xMode val="edge"/>
          <c:yMode val="edge"/>
          <c:x val="7.2154269972451779E-2"/>
          <c:y val="2.577319587628865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16370032779738"/>
          <c:y val="0.3423431984795004"/>
          <c:w val="0.44483127372897663"/>
          <c:h val="0.55659727878842735"/>
        </c:manualLayout>
      </c:layout>
      <c:pie3DChart>
        <c:varyColors val="1"/>
        <c:ser>
          <c:idx val="0"/>
          <c:order val="0"/>
          <c:tx>
            <c:strRef>
              <c:f>List8!$C$2</c:f>
              <c:strCache>
                <c:ptCount val="1"/>
                <c:pt idx="0">
                  <c:v>Přidělená dotace  mil. Kč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rgbClr val="FFB3FF"/>
              </a:solidFill>
            </c:spPr>
          </c:dPt>
          <c:dPt>
            <c:idx val="2"/>
            <c:bubble3D val="0"/>
            <c:spPr>
              <a:solidFill>
                <a:srgbClr val="FFFF99"/>
              </a:solidFill>
            </c:spPr>
          </c:dPt>
          <c:dPt>
            <c:idx val="3"/>
            <c:bubble3D val="0"/>
            <c:spPr>
              <a:solidFill>
                <a:srgbClr val="FFB7B7"/>
              </a:solidFill>
            </c:spPr>
          </c:dPt>
          <c:dPt>
            <c:idx val="4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5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0.10320272872538305"/>
                  <c:y val="-5.585995716052735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A</a:t>
                    </a:r>
                  </a:p>
                  <a:p>
                    <a:r>
                      <a:rPr lang="en-US"/>
                      <a:t>0,08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0</a:t>
                    </a:r>
                    <a:r>
                      <a:rPr lang="cs-CZ"/>
                      <a:t>,01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0070624702272087E-2"/>
                  <c:y val="-1.3869430114339156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C</a:t>
                    </a:r>
                  </a:p>
                  <a:p>
                    <a:r>
                      <a:rPr lang="en-US"/>
                      <a:t>6,25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4509342275999376E-2"/>
                  <c:y val="-8.9398738950734608E-3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D1</a:t>
                    </a:r>
                  </a:p>
                  <a:p>
                    <a:r>
                      <a:rPr lang="en-US"/>
                      <a:t>3,30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2484987584684107E-2"/>
                  <c:y val="8.7844752164600109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D2</a:t>
                    </a:r>
                  </a:p>
                  <a:p>
                    <a:r>
                      <a:rPr lang="en-US"/>
                      <a:t>8,30</a:t>
                    </a:r>
                    <a:r>
                      <a:rPr lang="cs-CZ"/>
                      <a:t> mil. Kč</a:t>
                    </a:r>
                  </a:p>
                  <a:p>
                    <a:r>
                      <a:rPr lang="en-US"/>
                      <a:t>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0483430244108258"/>
                  <c:y val="1.1048360334268561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E1</a:t>
                    </a:r>
                  </a:p>
                  <a:p>
                    <a:r>
                      <a:rPr lang="en-US"/>
                      <a:t>0,92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6.3873728439338015E-2"/>
                  <c:y val="-6.314628774851419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E2</a:t>
                    </a:r>
                  </a:p>
                  <a:p>
                    <a:r>
                      <a:rPr lang="en-US"/>
                      <a:t>1,51</a:t>
                    </a:r>
                    <a:r>
                      <a:rPr lang="cs-CZ"/>
                      <a:t> mil.Kč</a:t>
                    </a:r>
                  </a:p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4.2581809505216804E-2"/>
                  <c:y val="-0.10356142578951824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F; </a:t>
                    </a:r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List8!$B$3:$B$9</c:f>
              <c:strCache>
                <c:ptCount val="7"/>
                <c:pt idx="0">
                  <c:v>A - Plán úspor</c:v>
                </c:pt>
                <c:pt idx="1">
                  <c:v>C - Energetické poradenství</c:v>
                </c:pt>
                <c:pt idx="2">
                  <c:v>D.1 - Kurz, seminář v oblasti energetiky</c:v>
                </c:pt>
                <c:pt idx="3">
                  <c:v>D.2 - Publikace, příručky v oblasti energetiky</c:v>
                </c:pt>
                <c:pt idx="4">
                  <c:v>E.1 - Zavedení energetického managementu </c:v>
                </c:pt>
                <c:pt idx="5">
                  <c:v>E.2 - Příprava projektů  EPC</c:v>
                </c:pt>
                <c:pt idx="6">
                  <c:v>F - Specifické projekty</c:v>
                </c:pt>
              </c:strCache>
            </c:strRef>
          </c:cat>
          <c:val>
            <c:numRef>
              <c:f>List8!$C$3:$C$9</c:f>
              <c:numCache>
                <c:formatCode>#,##0.00</c:formatCode>
                <c:ptCount val="7"/>
                <c:pt idx="0">
                  <c:v>7.5931999999999999E-2</c:v>
                </c:pt>
                <c:pt idx="1">
                  <c:v>6.2537760000000002</c:v>
                </c:pt>
                <c:pt idx="2">
                  <c:v>3.3</c:v>
                </c:pt>
                <c:pt idx="3">
                  <c:v>8.3000000000000007</c:v>
                </c:pt>
                <c:pt idx="4">
                  <c:v>0.92479999999999996</c:v>
                </c:pt>
                <c:pt idx="5">
                  <c:v>1.5079670000000001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074316611647221"/>
          <c:y val="1.813970027940056E-2"/>
          <c:w val="0.20861326218520207"/>
          <c:h val="0.966035189544605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A5FF-E27B-47A0-A852-0202C629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ACD031.dotm</Template>
  <TotalTime>37</TotalTime>
  <Pages>12</Pages>
  <Words>3211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Vyhodnocení</vt:lpstr>
    </vt:vector>
  </TitlesOfParts>
  <Company>MPO</Company>
  <LinksUpToDate>false</LinksUpToDate>
  <CharactersWithSpaces>21858</CharactersWithSpaces>
  <SharedDoc>false</SharedDoc>
  <HLinks>
    <vt:vector size="12" baseType="variant"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</dc:title>
  <dc:creator>Jana Trechová</dc:creator>
  <cp:lastModifiedBy>Trechová Jana</cp:lastModifiedBy>
  <cp:revision>5</cp:revision>
  <cp:lastPrinted>2014-05-27T08:45:00Z</cp:lastPrinted>
  <dcterms:created xsi:type="dcterms:W3CDTF">2014-05-30T12:57:00Z</dcterms:created>
  <dcterms:modified xsi:type="dcterms:W3CDTF">2014-06-20T09:28:00Z</dcterms:modified>
</cp:coreProperties>
</file>