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134" w:rsidRDefault="00734134" w:rsidP="00605759"/>
    <w:p w:rsidR="00734134" w:rsidRPr="00734134" w:rsidRDefault="00734134" w:rsidP="00734134"/>
    <w:p w:rsidR="00734134" w:rsidRPr="00734134" w:rsidRDefault="00734134" w:rsidP="00734134"/>
    <w:p w:rsidR="00576970" w:rsidRDefault="00576970" w:rsidP="00576970">
      <w:pPr>
        <w:jc w:val="center"/>
        <w:rPr>
          <w:b/>
          <w:sz w:val="52"/>
        </w:rPr>
      </w:pPr>
    </w:p>
    <w:p w:rsidR="00576970" w:rsidRDefault="00576970" w:rsidP="00576970">
      <w:pPr>
        <w:jc w:val="center"/>
        <w:rPr>
          <w:b/>
          <w:sz w:val="52"/>
        </w:rPr>
      </w:pPr>
    </w:p>
    <w:p w:rsidR="00576970" w:rsidRDefault="00576970" w:rsidP="00576970">
      <w:pPr>
        <w:jc w:val="center"/>
        <w:rPr>
          <w:b/>
          <w:sz w:val="52"/>
        </w:rPr>
      </w:pPr>
    </w:p>
    <w:p w:rsidR="00576970" w:rsidRPr="00576970" w:rsidRDefault="006872EE" w:rsidP="00576970">
      <w:pPr>
        <w:jc w:val="center"/>
        <w:rPr>
          <w:sz w:val="56"/>
        </w:rPr>
      </w:pPr>
      <w:r>
        <w:rPr>
          <w:sz w:val="56"/>
        </w:rPr>
        <w:t>Metodický pokyn pro žadatele v oblasti publicity</w:t>
      </w:r>
      <w:r w:rsidR="00576970" w:rsidRPr="00576970">
        <w:rPr>
          <w:sz w:val="56"/>
        </w:rPr>
        <w:t xml:space="preserve"> </w:t>
      </w:r>
    </w:p>
    <w:p w:rsidR="00576970" w:rsidRPr="00576970" w:rsidRDefault="00D768A5" w:rsidP="00576970">
      <w:pPr>
        <w:jc w:val="center"/>
        <w:rPr>
          <w:b/>
          <w:sz w:val="52"/>
        </w:rPr>
      </w:pPr>
      <w:r>
        <w:rPr>
          <w:b/>
          <w:sz w:val="52"/>
        </w:rPr>
        <w:t xml:space="preserve">komponenta 2.5.3 </w:t>
      </w:r>
      <w:r w:rsidR="00576970" w:rsidRPr="00576970">
        <w:rPr>
          <w:b/>
          <w:sz w:val="52"/>
        </w:rPr>
        <w:t>Národní</w:t>
      </w:r>
      <w:r>
        <w:rPr>
          <w:b/>
          <w:sz w:val="52"/>
        </w:rPr>
        <w:t>ho</w:t>
      </w:r>
      <w:r w:rsidR="00576970" w:rsidRPr="00576970">
        <w:rPr>
          <w:b/>
          <w:sz w:val="52"/>
        </w:rPr>
        <w:t xml:space="preserve"> plán</w:t>
      </w:r>
      <w:r>
        <w:rPr>
          <w:b/>
          <w:sz w:val="52"/>
        </w:rPr>
        <w:t>u</w:t>
      </w:r>
      <w:r w:rsidR="00576970" w:rsidRPr="00576970">
        <w:rPr>
          <w:b/>
          <w:sz w:val="52"/>
        </w:rPr>
        <w:t xml:space="preserve"> obnovy</w:t>
      </w:r>
    </w:p>
    <w:p w:rsidR="00576970" w:rsidRDefault="00576970" w:rsidP="00576970">
      <w:pPr>
        <w:jc w:val="center"/>
        <w:rPr>
          <w:rFonts w:cstheme="minorHAnsi"/>
          <w:sz w:val="24"/>
        </w:rPr>
      </w:pPr>
    </w:p>
    <w:p w:rsidR="00576970" w:rsidRDefault="00576970" w:rsidP="00576970">
      <w:pPr>
        <w:jc w:val="center"/>
        <w:rPr>
          <w:rFonts w:cstheme="minorHAnsi"/>
          <w:sz w:val="24"/>
        </w:rPr>
      </w:pPr>
    </w:p>
    <w:p w:rsidR="00576970" w:rsidRDefault="00576970" w:rsidP="00576970">
      <w:pPr>
        <w:jc w:val="center"/>
        <w:rPr>
          <w:rFonts w:cstheme="minorHAnsi"/>
          <w:sz w:val="24"/>
        </w:rPr>
      </w:pPr>
    </w:p>
    <w:p w:rsidR="00576970" w:rsidRDefault="00576970" w:rsidP="00576970">
      <w:pPr>
        <w:jc w:val="center"/>
        <w:rPr>
          <w:rFonts w:cstheme="minorHAnsi"/>
          <w:sz w:val="24"/>
        </w:rPr>
      </w:pPr>
    </w:p>
    <w:p w:rsidR="00576970" w:rsidRDefault="00576970" w:rsidP="00576970">
      <w:pPr>
        <w:jc w:val="center"/>
        <w:rPr>
          <w:rFonts w:cstheme="minorHAnsi"/>
          <w:sz w:val="24"/>
        </w:rPr>
      </w:pPr>
    </w:p>
    <w:p w:rsidR="00576970" w:rsidRDefault="00576970" w:rsidP="00576970">
      <w:pPr>
        <w:jc w:val="center"/>
        <w:rPr>
          <w:rFonts w:cstheme="minorHAnsi"/>
          <w:sz w:val="24"/>
        </w:rPr>
      </w:pPr>
    </w:p>
    <w:p w:rsidR="00576970" w:rsidRDefault="00576970" w:rsidP="00576970">
      <w:pPr>
        <w:jc w:val="center"/>
        <w:rPr>
          <w:rFonts w:cstheme="minorHAnsi"/>
          <w:sz w:val="24"/>
        </w:rPr>
      </w:pPr>
    </w:p>
    <w:p w:rsidR="00576970" w:rsidRDefault="00576970" w:rsidP="00576970">
      <w:pPr>
        <w:jc w:val="center"/>
        <w:rPr>
          <w:rFonts w:cstheme="minorHAnsi"/>
          <w:sz w:val="24"/>
        </w:rPr>
      </w:pPr>
    </w:p>
    <w:p w:rsidR="00576970" w:rsidRDefault="00576970" w:rsidP="00576970">
      <w:pPr>
        <w:jc w:val="center"/>
        <w:rPr>
          <w:rFonts w:cstheme="minorHAnsi"/>
          <w:sz w:val="24"/>
        </w:rPr>
      </w:pPr>
    </w:p>
    <w:p w:rsidR="00576970" w:rsidRDefault="00576970" w:rsidP="00576970">
      <w:pPr>
        <w:jc w:val="center"/>
        <w:rPr>
          <w:rFonts w:cstheme="minorHAnsi"/>
          <w:sz w:val="24"/>
        </w:rPr>
      </w:pPr>
    </w:p>
    <w:p w:rsidR="00734134" w:rsidRDefault="00DC5B0E" w:rsidP="00DC5B0E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verze 1 </w:t>
      </w:r>
      <w:r w:rsidR="00576970" w:rsidRPr="00576970">
        <w:rPr>
          <w:rFonts w:cstheme="minorHAnsi"/>
          <w:sz w:val="24"/>
        </w:rPr>
        <w:t>říjen 2022</w:t>
      </w:r>
    </w:p>
    <w:p w:rsidR="00576970" w:rsidRDefault="00576970" w:rsidP="00700870">
      <w:pPr>
        <w:pStyle w:val="Pa13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:rsidR="00DC5B0E" w:rsidRDefault="00DC5B0E" w:rsidP="00DC5B0E"/>
    <w:p w:rsidR="00DC5B0E" w:rsidRPr="00DC5B0E" w:rsidRDefault="00DC5B0E" w:rsidP="00DC5B0E"/>
    <w:sdt>
      <w:sdtPr>
        <w:rPr>
          <w:rFonts w:asciiTheme="minorHAnsi" w:hAnsiTheme="minorHAnsi"/>
          <w:b w:val="0"/>
          <w:sz w:val="22"/>
        </w:rPr>
        <w:id w:val="203955315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AF5BFE" w:rsidRDefault="00AF5BFE">
          <w:pPr>
            <w:pStyle w:val="Nadpisobsahu"/>
          </w:pPr>
          <w:r>
            <w:t>Obsah</w:t>
          </w:r>
        </w:p>
        <w:p w:rsidR="003E6F04" w:rsidRDefault="00AF5BFE">
          <w:pPr>
            <w:pStyle w:val="Obsah1"/>
            <w:tabs>
              <w:tab w:val="right" w:leader="dot" w:pos="9628"/>
            </w:tabs>
            <w:rPr>
              <w:rFonts w:eastAsiaTheme="minorEastAsia"/>
              <w:noProof/>
              <w:color w:val="auto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873630" w:history="1">
            <w:r w:rsidR="003E6F04" w:rsidRPr="00D10D53">
              <w:rPr>
                <w:rStyle w:val="Hypertextovodkaz"/>
                <w:noProof/>
              </w:rPr>
              <w:t>Základní povinnosti příjemců</w:t>
            </w:r>
            <w:r w:rsidR="003E6F04">
              <w:rPr>
                <w:noProof/>
                <w:webHidden/>
              </w:rPr>
              <w:tab/>
            </w:r>
            <w:r w:rsidR="003E6F04">
              <w:rPr>
                <w:noProof/>
                <w:webHidden/>
              </w:rPr>
              <w:fldChar w:fldCharType="begin"/>
            </w:r>
            <w:r w:rsidR="003E6F04">
              <w:rPr>
                <w:noProof/>
                <w:webHidden/>
              </w:rPr>
              <w:instrText xml:space="preserve"> PAGEREF _Toc115873630 \h </w:instrText>
            </w:r>
            <w:r w:rsidR="003E6F04">
              <w:rPr>
                <w:noProof/>
                <w:webHidden/>
              </w:rPr>
            </w:r>
            <w:r w:rsidR="003E6F04">
              <w:rPr>
                <w:noProof/>
                <w:webHidden/>
              </w:rPr>
              <w:fldChar w:fldCharType="separate"/>
            </w:r>
            <w:r w:rsidR="003E6F04">
              <w:rPr>
                <w:noProof/>
                <w:webHidden/>
              </w:rPr>
              <w:t>3</w:t>
            </w:r>
            <w:r w:rsidR="003E6F04">
              <w:rPr>
                <w:noProof/>
                <w:webHidden/>
              </w:rPr>
              <w:fldChar w:fldCharType="end"/>
            </w:r>
          </w:hyperlink>
        </w:p>
        <w:p w:rsidR="003E6F04" w:rsidRDefault="00DC3B7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color w:val="auto"/>
              <w:lang w:eastAsia="cs-CZ"/>
            </w:rPr>
          </w:pPr>
          <w:hyperlink w:anchor="_Toc115873631" w:history="1">
            <w:r w:rsidR="003E6F04" w:rsidRPr="00D10D53">
              <w:rPr>
                <w:rStyle w:val="Hypertextovodkaz"/>
                <w:noProof/>
              </w:rPr>
              <w:t>Povinné nástroje publicity:</w:t>
            </w:r>
            <w:r w:rsidR="003E6F04">
              <w:rPr>
                <w:noProof/>
                <w:webHidden/>
              </w:rPr>
              <w:tab/>
            </w:r>
            <w:r w:rsidR="003E6F04">
              <w:rPr>
                <w:noProof/>
                <w:webHidden/>
              </w:rPr>
              <w:fldChar w:fldCharType="begin"/>
            </w:r>
            <w:r w:rsidR="003E6F04">
              <w:rPr>
                <w:noProof/>
                <w:webHidden/>
              </w:rPr>
              <w:instrText xml:space="preserve"> PAGEREF _Toc115873631 \h </w:instrText>
            </w:r>
            <w:r w:rsidR="003E6F04">
              <w:rPr>
                <w:noProof/>
                <w:webHidden/>
              </w:rPr>
            </w:r>
            <w:r w:rsidR="003E6F04">
              <w:rPr>
                <w:noProof/>
                <w:webHidden/>
              </w:rPr>
              <w:fldChar w:fldCharType="separate"/>
            </w:r>
            <w:r w:rsidR="003E6F04">
              <w:rPr>
                <w:noProof/>
                <w:webHidden/>
              </w:rPr>
              <w:t>3</w:t>
            </w:r>
            <w:r w:rsidR="003E6F04">
              <w:rPr>
                <w:noProof/>
                <w:webHidden/>
              </w:rPr>
              <w:fldChar w:fldCharType="end"/>
            </w:r>
          </w:hyperlink>
        </w:p>
        <w:p w:rsidR="003E6F04" w:rsidRDefault="00DC3B7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color w:val="auto"/>
              <w:lang w:eastAsia="cs-CZ"/>
            </w:rPr>
          </w:pPr>
          <w:hyperlink w:anchor="_Toc115873632" w:history="1">
            <w:r w:rsidR="003E6F04" w:rsidRPr="00D10D53">
              <w:rPr>
                <w:rStyle w:val="Hypertextovodkaz"/>
                <w:noProof/>
              </w:rPr>
              <w:t>Užití loga:</w:t>
            </w:r>
            <w:r w:rsidR="003E6F04">
              <w:rPr>
                <w:noProof/>
                <w:webHidden/>
              </w:rPr>
              <w:tab/>
            </w:r>
            <w:r w:rsidR="003E6F04">
              <w:rPr>
                <w:noProof/>
                <w:webHidden/>
              </w:rPr>
              <w:fldChar w:fldCharType="begin"/>
            </w:r>
            <w:r w:rsidR="003E6F04">
              <w:rPr>
                <w:noProof/>
                <w:webHidden/>
              </w:rPr>
              <w:instrText xml:space="preserve"> PAGEREF _Toc115873632 \h </w:instrText>
            </w:r>
            <w:r w:rsidR="003E6F04">
              <w:rPr>
                <w:noProof/>
                <w:webHidden/>
              </w:rPr>
            </w:r>
            <w:r w:rsidR="003E6F04">
              <w:rPr>
                <w:noProof/>
                <w:webHidden/>
              </w:rPr>
              <w:fldChar w:fldCharType="separate"/>
            </w:r>
            <w:r w:rsidR="003E6F04">
              <w:rPr>
                <w:noProof/>
                <w:webHidden/>
              </w:rPr>
              <w:t>4</w:t>
            </w:r>
            <w:r w:rsidR="003E6F04">
              <w:rPr>
                <w:noProof/>
                <w:webHidden/>
              </w:rPr>
              <w:fldChar w:fldCharType="end"/>
            </w:r>
          </w:hyperlink>
        </w:p>
        <w:p w:rsidR="003E6F04" w:rsidRDefault="00DC3B7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color w:val="auto"/>
              <w:lang w:eastAsia="cs-CZ"/>
            </w:rPr>
          </w:pPr>
          <w:hyperlink w:anchor="_Toc115873633" w:history="1">
            <w:r w:rsidR="003E6F04" w:rsidRPr="00D10D53">
              <w:rPr>
                <w:rStyle w:val="Hypertextovodkaz"/>
                <w:noProof/>
              </w:rPr>
              <w:t>Obecná pravidla pro používání loga:</w:t>
            </w:r>
            <w:r w:rsidR="003E6F04">
              <w:rPr>
                <w:noProof/>
                <w:webHidden/>
              </w:rPr>
              <w:tab/>
            </w:r>
            <w:r w:rsidR="003E6F04">
              <w:rPr>
                <w:noProof/>
                <w:webHidden/>
              </w:rPr>
              <w:fldChar w:fldCharType="begin"/>
            </w:r>
            <w:r w:rsidR="003E6F04">
              <w:rPr>
                <w:noProof/>
                <w:webHidden/>
              </w:rPr>
              <w:instrText xml:space="preserve"> PAGEREF _Toc115873633 \h </w:instrText>
            </w:r>
            <w:r w:rsidR="003E6F04">
              <w:rPr>
                <w:noProof/>
                <w:webHidden/>
              </w:rPr>
            </w:r>
            <w:r w:rsidR="003E6F04">
              <w:rPr>
                <w:noProof/>
                <w:webHidden/>
              </w:rPr>
              <w:fldChar w:fldCharType="separate"/>
            </w:r>
            <w:r w:rsidR="003E6F04">
              <w:rPr>
                <w:noProof/>
                <w:webHidden/>
              </w:rPr>
              <w:t>4</w:t>
            </w:r>
            <w:r w:rsidR="003E6F04">
              <w:rPr>
                <w:noProof/>
                <w:webHidden/>
              </w:rPr>
              <w:fldChar w:fldCharType="end"/>
            </w:r>
          </w:hyperlink>
        </w:p>
        <w:p w:rsidR="003E6F04" w:rsidRDefault="00DC3B7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color w:val="auto"/>
              <w:lang w:eastAsia="cs-CZ"/>
            </w:rPr>
          </w:pPr>
          <w:hyperlink w:anchor="_Toc115873634" w:history="1">
            <w:r w:rsidR="003E6F04" w:rsidRPr="00D10D53">
              <w:rPr>
                <w:rStyle w:val="Hypertextovodkaz"/>
                <w:noProof/>
              </w:rPr>
              <w:t>Ochranná zóna log:</w:t>
            </w:r>
            <w:r w:rsidR="003E6F04">
              <w:rPr>
                <w:noProof/>
                <w:webHidden/>
              </w:rPr>
              <w:tab/>
            </w:r>
            <w:r w:rsidR="003E6F04">
              <w:rPr>
                <w:noProof/>
                <w:webHidden/>
              </w:rPr>
              <w:fldChar w:fldCharType="begin"/>
            </w:r>
            <w:r w:rsidR="003E6F04">
              <w:rPr>
                <w:noProof/>
                <w:webHidden/>
              </w:rPr>
              <w:instrText xml:space="preserve"> PAGEREF _Toc115873634 \h </w:instrText>
            </w:r>
            <w:r w:rsidR="003E6F04">
              <w:rPr>
                <w:noProof/>
                <w:webHidden/>
              </w:rPr>
            </w:r>
            <w:r w:rsidR="003E6F04">
              <w:rPr>
                <w:noProof/>
                <w:webHidden/>
              </w:rPr>
              <w:fldChar w:fldCharType="separate"/>
            </w:r>
            <w:r w:rsidR="003E6F04">
              <w:rPr>
                <w:noProof/>
                <w:webHidden/>
              </w:rPr>
              <w:t>5</w:t>
            </w:r>
            <w:r w:rsidR="003E6F04">
              <w:rPr>
                <w:noProof/>
                <w:webHidden/>
              </w:rPr>
              <w:fldChar w:fldCharType="end"/>
            </w:r>
          </w:hyperlink>
        </w:p>
        <w:p w:rsidR="003E6F04" w:rsidRDefault="00DC3B7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color w:val="auto"/>
              <w:lang w:eastAsia="cs-CZ"/>
            </w:rPr>
          </w:pPr>
          <w:hyperlink w:anchor="_Toc115873635" w:history="1">
            <w:r w:rsidR="003E6F04" w:rsidRPr="00D10D53">
              <w:rPr>
                <w:rStyle w:val="Hypertextovodkaz"/>
                <w:noProof/>
              </w:rPr>
              <w:t>Povinné sdělení:</w:t>
            </w:r>
            <w:r w:rsidR="003E6F04">
              <w:rPr>
                <w:noProof/>
                <w:webHidden/>
              </w:rPr>
              <w:tab/>
            </w:r>
            <w:r w:rsidR="003E6F04">
              <w:rPr>
                <w:noProof/>
                <w:webHidden/>
              </w:rPr>
              <w:fldChar w:fldCharType="begin"/>
            </w:r>
            <w:r w:rsidR="003E6F04">
              <w:rPr>
                <w:noProof/>
                <w:webHidden/>
              </w:rPr>
              <w:instrText xml:space="preserve"> PAGEREF _Toc115873635 \h </w:instrText>
            </w:r>
            <w:r w:rsidR="003E6F04">
              <w:rPr>
                <w:noProof/>
                <w:webHidden/>
              </w:rPr>
            </w:r>
            <w:r w:rsidR="003E6F04">
              <w:rPr>
                <w:noProof/>
                <w:webHidden/>
              </w:rPr>
              <w:fldChar w:fldCharType="separate"/>
            </w:r>
            <w:r w:rsidR="003E6F04">
              <w:rPr>
                <w:noProof/>
                <w:webHidden/>
              </w:rPr>
              <w:t>6</w:t>
            </w:r>
            <w:r w:rsidR="003E6F04">
              <w:rPr>
                <w:noProof/>
                <w:webHidden/>
              </w:rPr>
              <w:fldChar w:fldCharType="end"/>
            </w:r>
          </w:hyperlink>
        </w:p>
        <w:p w:rsidR="00AF5BFE" w:rsidRDefault="00AF5BFE">
          <w:r>
            <w:rPr>
              <w:b/>
              <w:bCs/>
            </w:rPr>
            <w:fldChar w:fldCharType="end"/>
          </w:r>
        </w:p>
      </w:sdtContent>
    </w:sdt>
    <w:p w:rsidR="0001294E" w:rsidRDefault="0001294E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:rsidR="00BC2515" w:rsidRDefault="00BC2515" w:rsidP="00BC2515">
      <w:pPr>
        <w:spacing w:line="360" w:lineRule="auto"/>
        <w:rPr>
          <w:rFonts w:cstheme="minorHAnsi"/>
        </w:rPr>
      </w:pPr>
      <w:r w:rsidRPr="006D39CC">
        <w:rPr>
          <w:rFonts w:cstheme="minorHAnsi"/>
        </w:rPr>
        <w:lastRenderedPageBreak/>
        <w:t>Příjemce dotace odpovídá za informování veřejnosti o realizaci projektu za finanční spoluúčasti Evropské unie. Každý</w:t>
      </w:r>
      <w:r w:rsidRPr="0072048F">
        <w:rPr>
          <w:rFonts w:cstheme="minorHAnsi"/>
          <w:b/>
        </w:rPr>
        <w:t xml:space="preserve"> příjemce dotace musí dodržovat pravidla jednotné publicity </w:t>
      </w:r>
      <w:r w:rsidRPr="006D39CC">
        <w:rPr>
          <w:rFonts w:cstheme="minorHAnsi"/>
        </w:rPr>
        <w:t>stanoven</w:t>
      </w:r>
      <w:r>
        <w:rPr>
          <w:rFonts w:cstheme="minorHAnsi"/>
        </w:rPr>
        <w:t>é</w:t>
      </w:r>
      <w:r w:rsidRPr="006D39CC">
        <w:rPr>
          <w:rFonts w:cstheme="minorHAnsi"/>
        </w:rPr>
        <w:t xml:space="preserve"> v následujícím textu.</w:t>
      </w:r>
    </w:p>
    <w:p w:rsidR="00AF5BFE" w:rsidRPr="00AF5BFE" w:rsidRDefault="00BC2515" w:rsidP="00AF5BFE">
      <w:pPr>
        <w:pStyle w:val="Nadpis1"/>
        <w:spacing w:after="240"/>
        <w:rPr>
          <w:sz w:val="36"/>
        </w:rPr>
      </w:pPr>
      <w:bookmarkStart w:id="0" w:name="_Toc115873630"/>
      <w:r w:rsidRPr="00AF5BFE">
        <w:rPr>
          <w:sz w:val="36"/>
        </w:rPr>
        <w:t>Základní povinnosti příjemců</w:t>
      </w:r>
      <w:bookmarkEnd w:id="0"/>
    </w:p>
    <w:p w:rsidR="00687E32" w:rsidRDefault="00BC2515" w:rsidP="00687E32">
      <w:pPr>
        <w:spacing w:line="360" w:lineRule="auto"/>
        <w:jc w:val="both"/>
      </w:pPr>
      <w:r w:rsidRPr="00783734">
        <w:t>V rámci všech informačních a komunikačních opatření dává příjemce najevo podporu na operaci z </w:t>
      </w:r>
      <w:r>
        <w:t>NPO</w:t>
      </w:r>
      <w:r w:rsidRPr="00783734">
        <w:t xml:space="preserve"> tím, že zobrazuje znak EU, odkaz na EU a odkaz na fond (</w:t>
      </w:r>
      <w:r>
        <w:t>NPO</w:t>
      </w:r>
      <w:r w:rsidRPr="00783734">
        <w:t>) nebo fondy, z nichž je operace podporována. Tato povinnost bude splněna použitím loga EU</w:t>
      </w:r>
      <w:r>
        <w:t>.</w:t>
      </w:r>
      <w:r w:rsidRPr="00783734">
        <w:t xml:space="preserve"> </w:t>
      </w:r>
      <w:r w:rsidRPr="003F2FBD">
        <w:t xml:space="preserve">Během provádění investiční operace je příjemce povinen informovat veřejnost o </w:t>
      </w:r>
      <w:r w:rsidR="007253C5">
        <w:t xml:space="preserve">získané </w:t>
      </w:r>
      <w:r w:rsidRPr="003F2FBD">
        <w:t>podpoře</w:t>
      </w:r>
      <w:r w:rsidR="00687E32">
        <w:t xml:space="preserve">. Veškeré nástroje, které byly použity k naplnění povinné publicity musí být v souladu a tímto manuálem. </w:t>
      </w:r>
    </w:p>
    <w:p w:rsidR="00DC5B0E" w:rsidRDefault="00DC5B0E" w:rsidP="00DC5B0E">
      <w:pPr>
        <w:spacing w:line="360" w:lineRule="auto"/>
      </w:pPr>
      <w:r>
        <w:t xml:space="preserve">Příjemce podpory je odpovědný za informování veřejnosti o financování programu Ministerstvem průmyslu a obchodu, které na jeho podporu získalo prostředky z Evropské unie z Fondu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EU. </w:t>
      </w:r>
    </w:p>
    <w:p w:rsidR="00DC5B0E" w:rsidRPr="006872EE" w:rsidRDefault="00DC5B0E" w:rsidP="00DC5B0E">
      <w:pPr>
        <w:pStyle w:val="Pa5"/>
        <w:spacing w:before="40" w:line="360" w:lineRule="auto"/>
        <w:rPr>
          <w:rFonts w:asciiTheme="minorHAnsi" w:hAnsiTheme="minorHAnsi" w:cstheme="minorHAnsi"/>
          <w:color w:val="000000"/>
          <w:sz w:val="22"/>
          <w:szCs w:val="20"/>
        </w:rPr>
      </w:pPr>
      <w:r w:rsidRPr="006872EE">
        <w:rPr>
          <w:rFonts w:asciiTheme="minorHAnsi" w:hAnsiTheme="minorHAnsi" w:cstheme="minorHAnsi"/>
          <w:color w:val="000000"/>
          <w:sz w:val="22"/>
          <w:szCs w:val="20"/>
        </w:rPr>
        <w:t xml:space="preserve">Nástroje k naplnění povinné publicity musí být jasně označeny informací o spolufinancování projektu z fondu </w:t>
      </w:r>
      <w:proofErr w:type="spellStart"/>
      <w:r w:rsidRPr="006872EE">
        <w:rPr>
          <w:rFonts w:asciiTheme="minorHAnsi" w:hAnsiTheme="minorHAnsi" w:cstheme="minorHAnsi"/>
          <w:color w:val="000000"/>
          <w:sz w:val="22"/>
          <w:szCs w:val="20"/>
        </w:rPr>
        <w:t>Next</w:t>
      </w:r>
      <w:proofErr w:type="spellEnd"/>
      <w:r w:rsidRPr="006872EE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proofErr w:type="spellStart"/>
      <w:r w:rsidRPr="006872EE">
        <w:rPr>
          <w:rFonts w:asciiTheme="minorHAnsi" w:hAnsiTheme="minorHAnsi" w:cstheme="minorHAnsi"/>
          <w:color w:val="000000"/>
          <w:sz w:val="22"/>
          <w:szCs w:val="20"/>
        </w:rPr>
        <w:t>Generation</w:t>
      </w:r>
      <w:proofErr w:type="spellEnd"/>
      <w:r w:rsidRPr="006872EE">
        <w:rPr>
          <w:rFonts w:asciiTheme="minorHAnsi" w:hAnsiTheme="minorHAnsi" w:cstheme="minorHAnsi"/>
          <w:color w:val="000000"/>
          <w:sz w:val="22"/>
          <w:szCs w:val="20"/>
        </w:rPr>
        <w:t xml:space="preserve"> EU, a to pomocí těchto prvků: </w:t>
      </w:r>
    </w:p>
    <w:p w:rsidR="00DC5B0E" w:rsidRPr="00230DC8" w:rsidRDefault="00DC5B0E" w:rsidP="00DC5B0E">
      <w:pPr>
        <w:pStyle w:val="Pa8"/>
        <w:numPr>
          <w:ilvl w:val="0"/>
          <w:numId w:val="42"/>
        </w:numPr>
        <w:spacing w:before="4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872EE">
        <w:rPr>
          <w:rFonts w:asciiTheme="minorHAnsi" w:hAnsiTheme="minorHAnsi" w:cstheme="minorHAnsi"/>
          <w:color w:val="000000"/>
          <w:sz w:val="22"/>
          <w:szCs w:val="20"/>
        </w:rPr>
        <w:t xml:space="preserve">log </w:t>
      </w:r>
      <w:proofErr w:type="spellStart"/>
      <w:r w:rsidRPr="006872EE">
        <w:rPr>
          <w:rFonts w:asciiTheme="minorHAnsi" w:hAnsiTheme="minorHAnsi" w:cstheme="minorHAnsi"/>
          <w:color w:val="000000"/>
          <w:sz w:val="22"/>
          <w:szCs w:val="20"/>
        </w:rPr>
        <w:t>Next</w:t>
      </w:r>
      <w:proofErr w:type="spellEnd"/>
      <w:r w:rsidRPr="006872EE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proofErr w:type="spellStart"/>
      <w:r w:rsidRPr="006872EE">
        <w:rPr>
          <w:rFonts w:asciiTheme="minorHAnsi" w:hAnsiTheme="minorHAnsi" w:cstheme="minorHAnsi"/>
          <w:color w:val="000000"/>
          <w:sz w:val="22"/>
          <w:szCs w:val="20"/>
        </w:rPr>
        <w:t>Generation</w:t>
      </w:r>
      <w:proofErr w:type="spellEnd"/>
      <w:r w:rsidRPr="006872EE">
        <w:rPr>
          <w:rFonts w:asciiTheme="minorHAnsi" w:hAnsiTheme="minorHAnsi" w:cstheme="minorHAnsi"/>
          <w:color w:val="000000"/>
          <w:sz w:val="22"/>
          <w:szCs w:val="20"/>
        </w:rPr>
        <w:t xml:space="preserve"> EU, MPO a NPO</w:t>
      </w:r>
    </w:p>
    <w:p w:rsidR="00DC5B0E" w:rsidRPr="006872EE" w:rsidRDefault="00DC5B0E" w:rsidP="00DC5B0E">
      <w:pPr>
        <w:pStyle w:val="Pa7"/>
        <w:numPr>
          <w:ilvl w:val="0"/>
          <w:numId w:val="4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0"/>
        </w:rPr>
      </w:pPr>
      <w:r w:rsidRPr="006872EE">
        <w:rPr>
          <w:rFonts w:asciiTheme="minorHAnsi" w:hAnsiTheme="minorHAnsi" w:cstheme="minorHAnsi"/>
          <w:color w:val="000000"/>
          <w:sz w:val="22"/>
          <w:szCs w:val="20"/>
        </w:rPr>
        <w:t xml:space="preserve">povinného sdělení, </w:t>
      </w:r>
    </w:p>
    <w:p w:rsidR="00DC5B0E" w:rsidRDefault="00DC5B0E" w:rsidP="00DC5B0E">
      <w:pPr>
        <w:pStyle w:val="Pa7"/>
        <w:numPr>
          <w:ilvl w:val="0"/>
          <w:numId w:val="42"/>
        </w:numPr>
        <w:spacing w:line="360" w:lineRule="auto"/>
        <w:rPr>
          <w:rFonts w:asciiTheme="minorHAnsi" w:hAnsiTheme="minorHAnsi" w:cstheme="minorHAnsi"/>
          <w:color w:val="000000"/>
          <w:sz w:val="22"/>
          <w:szCs w:val="20"/>
        </w:rPr>
      </w:pPr>
      <w:r w:rsidRPr="006872EE">
        <w:rPr>
          <w:rFonts w:asciiTheme="minorHAnsi" w:hAnsiTheme="minorHAnsi" w:cstheme="minorHAnsi"/>
          <w:color w:val="000000"/>
          <w:sz w:val="22"/>
          <w:szCs w:val="20"/>
        </w:rPr>
        <w:t xml:space="preserve">dalších informací dle konkrétního nástroje. </w:t>
      </w:r>
    </w:p>
    <w:p w:rsidR="003E6F04" w:rsidRPr="003E6F04" w:rsidRDefault="003E6F04" w:rsidP="003E6F04"/>
    <w:p w:rsidR="00687E32" w:rsidRPr="00AF5BFE" w:rsidRDefault="00687E32" w:rsidP="00AF5BFE">
      <w:pPr>
        <w:pStyle w:val="Nadpis2"/>
        <w:spacing w:after="240"/>
      </w:pPr>
      <w:bookmarkStart w:id="1" w:name="_Toc115873631"/>
      <w:r w:rsidRPr="00AF5BFE">
        <w:rPr>
          <w:sz w:val="28"/>
        </w:rPr>
        <w:t>Povinné nástroje publicity</w:t>
      </w:r>
      <w:r w:rsidRPr="00AF5BFE">
        <w:t>:</w:t>
      </w:r>
      <w:bookmarkEnd w:id="1"/>
    </w:p>
    <w:p w:rsidR="003F2FBD" w:rsidRDefault="003F2FBD" w:rsidP="00184380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000000"/>
          <w:szCs w:val="20"/>
        </w:rPr>
      </w:pPr>
      <w:r w:rsidRPr="00184380">
        <w:rPr>
          <w:rFonts w:cstheme="minorHAnsi"/>
          <w:color w:val="000000"/>
          <w:szCs w:val="20"/>
        </w:rPr>
        <w:t xml:space="preserve">Informace na webu a sociálních </w:t>
      </w:r>
      <w:r w:rsidR="00184380" w:rsidRPr="00184380">
        <w:rPr>
          <w:rFonts w:cstheme="minorHAnsi"/>
          <w:color w:val="000000"/>
          <w:szCs w:val="20"/>
        </w:rPr>
        <w:t>sítích – Příjemce</w:t>
      </w:r>
      <w:r w:rsidRPr="003F2FBD">
        <w:rPr>
          <w:rFonts w:cstheme="minorHAnsi"/>
          <w:color w:val="000000"/>
          <w:szCs w:val="20"/>
        </w:rPr>
        <w:t xml:space="preserve"> podpory zveřejní na svých oficiálních webových stránkách a sociálních sítích (pokud jimi disponuje) loga </w:t>
      </w:r>
      <w:proofErr w:type="spellStart"/>
      <w:r w:rsidRPr="003F2FBD">
        <w:rPr>
          <w:rFonts w:cstheme="minorHAnsi"/>
          <w:color w:val="000000"/>
          <w:szCs w:val="20"/>
        </w:rPr>
        <w:t>Next</w:t>
      </w:r>
      <w:proofErr w:type="spellEnd"/>
      <w:r w:rsidRPr="003F2FBD">
        <w:rPr>
          <w:rFonts w:cstheme="minorHAnsi"/>
          <w:color w:val="000000"/>
          <w:szCs w:val="20"/>
        </w:rPr>
        <w:t xml:space="preserve"> </w:t>
      </w:r>
      <w:proofErr w:type="spellStart"/>
      <w:r w:rsidRPr="003F2FBD">
        <w:rPr>
          <w:rFonts w:cstheme="minorHAnsi"/>
          <w:color w:val="000000"/>
          <w:szCs w:val="20"/>
        </w:rPr>
        <w:t>Generation</w:t>
      </w:r>
      <w:proofErr w:type="spellEnd"/>
      <w:r w:rsidRPr="003F2FBD">
        <w:rPr>
          <w:rFonts w:cstheme="minorHAnsi"/>
          <w:color w:val="000000"/>
          <w:szCs w:val="20"/>
        </w:rPr>
        <w:t xml:space="preserve"> EU, NPO, MPO ČR + povinné sdělení a doplní je stručným popisem projektu včetně uvedení jeho cílů a přínosů. V případě sociálních sítí je tato povinnost splněna uveřejněním postu na jedné sociální síti.</w:t>
      </w:r>
    </w:p>
    <w:p w:rsidR="00687E32" w:rsidRPr="00687E32" w:rsidRDefault="00687E32" w:rsidP="00687E32">
      <w:pPr>
        <w:pStyle w:val="Bezmezer"/>
        <w:numPr>
          <w:ilvl w:val="0"/>
          <w:numId w:val="4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t xml:space="preserve">V případě operací podporovaných z NPO příjemce zajistí, aby subjekty, které se na operaci podílejí, byly o tomto financování informovány. Každý dokument týkající se provádění operace, jenž je použit pro informování veřejnosti nebo pro cílové skupiny o podpořené operaci nebo její části, včetně jakéhokoliv potvrzení účasti nebo jiného potvrzení, musí obsahovat prohlášení o tom, že operace byla podpořena z NPO. Tato povinnost je zcela splněna tím, že příjemce bude o podpořené operaci referovat následujícím způsobem zobrazením znaku EU spolu s názvem fondu/fondů. Výše uvedený způsob je doporučenou nejjednodušší variantou. </w:t>
      </w:r>
    </w:p>
    <w:p w:rsidR="00687E32" w:rsidRPr="005D0846" w:rsidRDefault="00DC5B0E" w:rsidP="00687E32">
      <w:pPr>
        <w:pStyle w:val="Odstavecseseznamem"/>
        <w:numPr>
          <w:ilvl w:val="0"/>
          <w:numId w:val="48"/>
        </w:numPr>
        <w:spacing w:line="360" w:lineRule="auto"/>
        <w:jc w:val="both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</w:rPr>
        <w:t xml:space="preserve">V případě ostatních materiálů umístí příjemce </w:t>
      </w:r>
      <w:r w:rsidRPr="005D0846">
        <w:rPr>
          <w:rFonts w:cstheme="minorHAnsi"/>
          <w:color w:val="000000"/>
        </w:rPr>
        <w:t>Loga</w:t>
      </w:r>
      <w:r w:rsidR="00687E32" w:rsidRPr="00B0750E">
        <w:rPr>
          <w:rFonts w:cs="JohnSans Medium Pro"/>
          <w:bCs/>
          <w:color w:val="000000"/>
        </w:rPr>
        <w:t xml:space="preserve"> </w:t>
      </w:r>
      <w:proofErr w:type="spellStart"/>
      <w:r w:rsidR="00687E32" w:rsidRPr="00B0750E">
        <w:rPr>
          <w:rFonts w:cs="JohnSans Medium Pro"/>
          <w:bCs/>
          <w:color w:val="000000"/>
        </w:rPr>
        <w:t>Next</w:t>
      </w:r>
      <w:proofErr w:type="spellEnd"/>
      <w:r w:rsidR="00687E32" w:rsidRPr="00B0750E">
        <w:rPr>
          <w:rFonts w:cs="JohnSans Medium Pro"/>
          <w:bCs/>
          <w:color w:val="000000"/>
        </w:rPr>
        <w:t xml:space="preserve"> </w:t>
      </w:r>
      <w:proofErr w:type="spellStart"/>
      <w:r w:rsidR="00687E32" w:rsidRPr="00B0750E">
        <w:rPr>
          <w:rFonts w:cs="JohnSans Medium Pro"/>
          <w:bCs/>
          <w:color w:val="000000"/>
        </w:rPr>
        <w:t>Generation</w:t>
      </w:r>
      <w:proofErr w:type="spellEnd"/>
      <w:r w:rsidR="00687E32" w:rsidRPr="00B0750E">
        <w:rPr>
          <w:rFonts w:cs="JohnSans Medium Pro"/>
          <w:bCs/>
          <w:color w:val="000000"/>
        </w:rPr>
        <w:t xml:space="preserve"> EU, NPO, MPO ČR + povinné sdělení </w:t>
      </w:r>
      <w:r w:rsidR="00687E32" w:rsidRPr="00B0750E">
        <w:rPr>
          <w:rFonts w:cs="Segoe UI"/>
          <w:color w:val="000000"/>
        </w:rPr>
        <w:t>zároveň</w:t>
      </w:r>
      <w:r>
        <w:rPr>
          <w:rFonts w:cs="Segoe UI"/>
          <w:color w:val="000000"/>
        </w:rPr>
        <w:t xml:space="preserve"> </w:t>
      </w:r>
      <w:r w:rsidR="00687E32" w:rsidRPr="00B0750E">
        <w:rPr>
          <w:rFonts w:cs="Segoe UI"/>
          <w:color w:val="000000"/>
        </w:rPr>
        <w:t>na všechny doku</w:t>
      </w:r>
      <w:r w:rsidR="00687E32" w:rsidRPr="00B0750E">
        <w:rPr>
          <w:rFonts w:cs="Segoe UI"/>
          <w:color w:val="000000"/>
        </w:rPr>
        <w:softHyphen/>
        <w:t xml:space="preserve">menty a komunikační </w:t>
      </w:r>
      <w:r w:rsidR="00687E32" w:rsidRPr="00B0750E">
        <w:rPr>
          <w:rFonts w:cs="JohnSans Medium Pro"/>
          <w:bCs/>
          <w:color w:val="000000"/>
        </w:rPr>
        <w:t xml:space="preserve">materiály vztahující se k podpořenému </w:t>
      </w:r>
      <w:r w:rsidR="00687E32" w:rsidRPr="00B0750E">
        <w:rPr>
          <w:rFonts w:cs="JohnSans Medium Pro"/>
          <w:bCs/>
          <w:color w:val="000000"/>
        </w:rPr>
        <w:lastRenderedPageBreak/>
        <w:t>projektu a určené pro širokou veřejnost nebo účastníky projektu</w:t>
      </w:r>
      <w:r w:rsidR="00687E32" w:rsidRPr="00B0750E">
        <w:rPr>
          <w:rFonts w:cs="Segoe UI"/>
          <w:color w:val="000000"/>
        </w:rPr>
        <w:t>. Je</w:t>
      </w:r>
      <w:r w:rsidR="00687E32" w:rsidRPr="005D0846">
        <w:rPr>
          <w:rFonts w:cs="Segoe UI"/>
          <w:color w:val="000000"/>
        </w:rPr>
        <w:t>dná se například o pozvánky, publikace, inzeráty a články v tištěných a elektronických médiích apod. Všechny tyto povinné prvky jsou sloučeny do tzv. banneru Národního plánu obnovy. Povinné sdělení může být použito i mimo loga libovolně v článku, musí být ovšem zajištěna jeho čitelnost, tedy minimální velikost písma 8 bodů.</w:t>
      </w:r>
    </w:p>
    <w:p w:rsidR="00AF5BFE" w:rsidRPr="00AF5BFE" w:rsidRDefault="00AF5BFE" w:rsidP="00687E32">
      <w:pPr>
        <w:pStyle w:val="Bezmezer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:rsidR="00230DC8" w:rsidRPr="00AF5BFE" w:rsidRDefault="00AF5BFE" w:rsidP="00EA6536">
      <w:pPr>
        <w:pStyle w:val="Nadpis2"/>
        <w:spacing w:after="240"/>
        <w:rPr>
          <w:sz w:val="28"/>
        </w:rPr>
      </w:pPr>
      <w:bookmarkStart w:id="2" w:name="_Toc115873632"/>
      <w:r w:rsidRPr="00AF5BFE">
        <w:rPr>
          <w:sz w:val="28"/>
        </w:rPr>
        <w:t>Užití loga:</w:t>
      </w:r>
      <w:bookmarkEnd w:id="2"/>
    </w:p>
    <w:p w:rsidR="00AF5BFE" w:rsidRPr="003E6F04" w:rsidRDefault="00AF5BFE" w:rsidP="003E6F04">
      <w:pPr>
        <w:spacing w:line="360" w:lineRule="auto"/>
        <w:jc w:val="both"/>
      </w:pPr>
      <w:r w:rsidRPr="00AF5BFE">
        <w:rPr>
          <w:rFonts w:eastAsiaTheme="minorEastAsia"/>
        </w:rPr>
        <w:t>K</w:t>
      </w:r>
      <w:r w:rsidRPr="003E6F04">
        <w:t xml:space="preserve">aždý jednotlivý příjemce podpory musí ve všech komunikačních činnostech dodržovat pravidla jednotné publicity stanovené Evropskou komisí pro práci s prostředky z NPO, dle čl. 34 Nařízení 2021/241. V závislosti na charakteru aktivit musí umožnit viditelné označení spolufinancování </w:t>
      </w:r>
      <w:bookmarkStart w:id="3" w:name="_GoBack"/>
      <w:bookmarkEnd w:id="3"/>
      <w:r w:rsidRPr="003E6F04">
        <w:t>prostředků z EU, tzv. Financování v rámci NEXT GENERATION EU (dále „znak EU“). Pokyny pro uvedení jednotných log a loga ke stažení jsou k dispozici na</w:t>
      </w:r>
    </w:p>
    <w:p w:rsidR="00230DC8" w:rsidRDefault="00AF5BFE" w:rsidP="00AF5BFE">
      <w:pPr>
        <w:spacing w:line="360" w:lineRule="auto"/>
        <w:rPr>
          <w:rFonts w:cstheme="minorHAnsi"/>
        </w:rPr>
      </w:pPr>
      <w:r w:rsidRPr="00AF5BFE">
        <w:rPr>
          <w:rFonts w:cstheme="minorHAnsi"/>
        </w:rPr>
        <w:t xml:space="preserve"> </w:t>
      </w:r>
      <w:hyperlink r:id="rId8" w:history="1">
        <w:r w:rsidRPr="00AF5BFE">
          <w:rPr>
            <w:rStyle w:val="Hypertextovodkaz"/>
            <w:rFonts w:cstheme="minorHAnsi"/>
          </w:rPr>
          <w:t>https://ec.europa.eu/regional_policy/en/information/logos_downloadcenter/</w:t>
        </w:r>
      </w:hyperlink>
      <w:r w:rsidRPr="00AF5BFE">
        <w:rPr>
          <w:rFonts w:cstheme="minorHAnsi"/>
        </w:rPr>
        <w:t>.</w:t>
      </w:r>
      <w:r>
        <w:rPr>
          <w:rStyle w:val="Znakapoznpodarou"/>
          <w:rFonts w:cstheme="minorHAnsi"/>
        </w:rPr>
        <w:footnoteReference w:id="1"/>
      </w:r>
      <w:r w:rsidRPr="00AF5BFE">
        <w:rPr>
          <w:rFonts w:cstheme="minorHAnsi"/>
        </w:rPr>
        <w:t xml:space="preserve"> </w:t>
      </w:r>
    </w:p>
    <w:p w:rsidR="00AF5BFE" w:rsidRDefault="00AF5BFE" w:rsidP="00AF5BFE">
      <w:pPr>
        <w:jc w:val="both"/>
      </w:pPr>
      <w:r>
        <w:t>Jednotlivá loga jsou ke stažení na těchto odkazech:</w:t>
      </w:r>
    </w:p>
    <w:p w:rsidR="00AF5BFE" w:rsidRPr="00230DC8" w:rsidRDefault="00AF5BFE" w:rsidP="00AF5BFE">
      <w:pPr>
        <w:pStyle w:val="Pa8"/>
        <w:numPr>
          <w:ilvl w:val="0"/>
          <w:numId w:val="42"/>
        </w:numPr>
        <w:spacing w:before="4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230DC8">
        <w:rPr>
          <w:rFonts w:asciiTheme="minorHAnsi" w:hAnsiTheme="minorHAnsi" w:cstheme="minorHAnsi"/>
          <w:b/>
          <w:sz w:val="22"/>
        </w:rPr>
        <w:t xml:space="preserve">LOGA </w:t>
      </w:r>
      <w:proofErr w:type="spellStart"/>
      <w:r w:rsidRPr="00230DC8">
        <w:rPr>
          <w:rFonts w:asciiTheme="minorHAnsi" w:hAnsiTheme="minorHAnsi" w:cstheme="minorHAnsi"/>
          <w:b/>
          <w:sz w:val="22"/>
        </w:rPr>
        <w:t>NextGenerationEU</w:t>
      </w:r>
      <w:proofErr w:type="spellEnd"/>
      <w:r w:rsidRPr="00230DC8">
        <w:rPr>
          <w:rFonts w:asciiTheme="minorHAnsi" w:hAnsiTheme="minorHAnsi" w:cstheme="minorHAnsi"/>
          <w:b/>
          <w:sz w:val="22"/>
        </w:rPr>
        <w:t xml:space="preserve"> a Národního plánu obnovy</w:t>
      </w:r>
      <w:r w:rsidRPr="00230DC8">
        <w:rPr>
          <w:rFonts w:asciiTheme="minorHAnsi" w:hAnsiTheme="minorHAnsi" w:cstheme="minorHAnsi"/>
          <w:sz w:val="22"/>
        </w:rPr>
        <w:t xml:space="preserve"> naleznete na tomto odkazu </w:t>
      </w:r>
      <w:hyperlink r:id="rId9" w:history="1">
        <w:r w:rsidRPr="00230DC8">
          <w:rPr>
            <w:rStyle w:val="Hypertextovodkaz"/>
            <w:rFonts w:asciiTheme="minorHAnsi" w:hAnsiTheme="minorHAnsi" w:cstheme="minorHAnsi"/>
            <w:sz w:val="22"/>
          </w:rPr>
          <w:t>https://www.planobnovycr.cz/dokumenty</w:t>
        </w:r>
      </w:hyperlink>
    </w:p>
    <w:p w:rsidR="00AF5BFE" w:rsidRDefault="00AF5BFE" w:rsidP="00AF5BFE">
      <w:pPr>
        <w:pStyle w:val="Pa8"/>
        <w:numPr>
          <w:ilvl w:val="0"/>
          <w:numId w:val="42"/>
        </w:numPr>
        <w:spacing w:before="40" w:after="240" w:line="360" w:lineRule="auto"/>
        <w:rPr>
          <w:rFonts w:asciiTheme="minorHAnsi" w:hAnsiTheme="minorHAnsi" w:cstheme="minorHAnsi"/>
          <w:sz w:val="22"/>
        </w:rPr>
      </w:pPr>
      <w:r w:rsidRPr="00230DC8">
        <w:rPr>
          <w:rFonts w:asciiTheme="minorHAnsi" w:hAnsiTheme="minorHAnsi" w:cstheme="minorHAnsi"/>
          <w:b/>
          <w:sz w:val="22"/>
        </w:rPr>
        <w:t>LOGO Ministerstva průmyslu a obchodu</w:t>
      </w:r>
      <w:r w:rsidRPr="00230DC8">
        <w:rPr>
          <w:rFonts w:asciiTheme="minorHAnsi" w:hAnsiTheme="minorHAnsi" w:cstheme="minorHAnsi"/>
          <w:sz w:val="22"/>
        </w:rPr>
        <w:t xml:space="preserve"> naleznete na tomto odkazu </w:t>
      </w:r>
      <w:hyperlink r:id="rId10" w:history="1">
        <w:r w:rsidRPr="00BE1581">
          <w:rPr>
            <w:rStyle w:val="Hypertextovodkaz"/>
            <w:rFonts w:asciiTheme="minorHAnsi" w:hAnsiTheme="minorHAnsi" w:cstheme="minorHAnsi"/>
            <w:sz w:val="22"/>
          </w:rPr>
          <w:t>https://www.mpo.cz/cz/rozcestnik/ministerstvo/loga-ke-stazeni/loga-ministerstva-prumyslu-a-obchodu--220428/</w:t>
        </w:r>
      </w:hyperlink>
      <w:r>
        <w:rPr>
          <w:rFonts w:asciiTheme="minorHAnsi" w:hAnsiTheme="minorHAnsi" w:cstheme="minorHAnsi"/>
          <w:sz w:val="22"/>
        </w:rPr>
        <w:t>)</w:t>
      </w:r>
    </w:p>
    <w:p w:rsidR="003E6F04" w:rsidRPr="003E6F04" w:rsidRDefault="003E6F04" w:rsidP="003E6F04"/>
    <w:p w:rsidR="003E6F04" w:rsidRDefault="003E6F04" w:rsidP="003E6F04">
      <w:pPr>
        <w:pStyle w:val="Nadpis2"/>
        <w:spacing w:after="240"/>
        <w:rPr>
          <w:rFonts w:eastAsiaTheme="minorEastAsia"/>
          <w:sz w:val="28"/>
        </w:rPr>
      </w:pPr>
      <w:bookmarkStart w:id="4" w:name="_Toc115873633"/>
      <w:r w:rsidRPr="0001294E">
        <w:rPr>
          <w:rFonts w:eastAsiaTheme="minorEastAsia"/>
          <w:sz w:val="28"/>
        </w:rPr>
        <w:t>Obecná pravidla pro používání loga:</w:t>
      </w:r>
      <w:bookmarkEnd w:id="4"/>
      <w:r w:rsidRPr="0001294E">
        <w:rPr>
          <w:rFonts w:eastAsiaTheme="minorEastAsia"/>
          <w:sz w:val="28"/>
        </w:rPr>
        <w:t xml:space="preserve"> </w:t>
      </w:r>
    </w:p>
    <w:p w:rsidR="003E6F04" w:rsidRPr="003E6F04" w:rsidRDefault="003E6F04" w:rsidP="003E6F04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000000"/>
          <w:szCs w:val="20"/>
        </w:rPr>
      </w:pPr>
      <w:r w:rsidRPr="003E6F04">
        <w:rPr>
          <w:rFonts w:cstheme="minorHAnsi"/>
          <w:color w:val="000000"/>
          <w:szCs w:val="20"/>
        </w:rPr>
        <w:t xml:space="preserve">Kromě loga nesmí být ke zviditelnění podpory ze strany EU primárně využita žádná jiná vizuální identita ani logo, pokud není poskytovatelem dotace stanoveno jinak. Znak musí zůstat zcela čitelný a samostatný a nelze jej upravit ani překrývat přidáním dalších vizuálních značek nebo textu. Pokud je znak EU zobrazen ve spojení s jiným logem, musí mít znak EU nejméně stejnou velikost (měřeno na výšku nebo šířku) jako největší z těchto dalších použitých log a musí mít obdobné viditelné umístění.  </w:t>
      </w:r>
    </w:p>
    <w:p w:rsidR="003E6F04" w:rsidRPr="003E6F04" w:rsidRDefault="003E6F04" w:rsidP="003E6F04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000000"/>
          <w:szCs w:val="20"/>
        </w:rPr>
      </w:pPr>
      <w:r w:rsidRPr="003E6F04">
        <w:rPr>
          <w:rFonts w:cstheme="minorHAnsi"/>
          <w:color w:val="000000"/>
          <w:szCs w:val="20"/>
        </w:rPr>
        <w:lastRenderedPageBreak/>
        <w:t>Grafické normy dle pokynů (vizuální manuál) jsou dostupné v .</w:t>
      </w:r>
      <w:proofErr w:type="spellStart"/>
      <w:r w:rsidRPr="003E6F04">
        <w:rPr>
          <w:rFonts w:cstheme="minorHAnsi"/>
          <w:color w:val="000000"/>
          <w:szCs w:val="20"/>
        </w:rPr>
        <w:t>pdf</w:t>
      </w:r>
      <w:proofErr w:type="spellEnd"/>
      <w:r w:rsidRPr="003E6F04">
        <w:rPr>
          <w:rFonts w:cstheme="minorHAnsi"/>
          <w:color w:val="000000"/>
          <w:szCs w:val="20"/>
        </w:rPr>
        <w:t xml:space="preserve"> formě (pouze anglicky) na </w:t>
      </w:r>
      <w:hyperlink r:id="rId11" w:history="1">
        <w:r w:rsidRPr="003E6F04">
          <w:rPr>
            <w:color w:val="000000"/>
            <w:szCs w:val="20"/>
          </w:rPr>
          <w:t>https://ec.europa.eu/regional_policy/en/information/logos_downloadcenter/</w:t>
        </w:r>
      </w:hyperlink>
    </w:p>
    <w:p w:rsidR="003E6F04" w:rsidRPr="003E6F04" w:rsidRDefault="003E6F04" w:rsidP="003E6F04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000000"/>
          <w:szCs w:val="20"/>
        </w:rPr>
      </w:pPr>
      <w:r w:rsidRPr="003E6F04">
        <w:rPr>
          <w:rFonts w:cstheme="minorHAnsi"/>
          <w:color w:val="000000"/>
          <w:szCs w:val="20"/>
        </w:rPr>
        <w:t xml:space="preserve">V celém NPO se u základních opatření v oblasti publicity (např. pamětní desky, billboardy, titulní strany dokumentů, webové stránky operace) kromě obecného loga, tj. znak EU a případně loga NPO ČR nepoužívají loga dalších subjektů (např. dodavatelů, subdodavatelů). </w:t>
      </w:r>
    </w:p>
    <w:p w:rsidR="003E6F04" w:rsidRPr="003E6F04" w:rsidRDefault="003E6F04" w:rsidP="003E6F04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000000"/>
          <w:szCs w:val="20"/>
        </w:rPr>
      </w:pPr>
      <w:r w:rsidRPr="003E6F04">
        <w:rPr>
          <w:rFonts w:cstheme="minorHAnsi"/>
          <w:color w:val="000000"/>
          <w:szCs w:val="20"/>
        </w:rPr>
        <w:t>Loga se vždy umisťují tak, aby byla zřetelně viditelná. Jejich umístění a velikost musí být úměrné rozměrům použitého materiálu nebo dokumentu.</w:t>
      </w:r>
    </w:p>
    <w:p w:rsidR="003E6F04" w:rsidRPr="003E6F04" w:rsidRDefault="003E6F04" w:rsidP="003E6F04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000000"/>
          <w:szCs w:val="20"/>
        </w:rPr>
      </w:pPr>
      <w:r w:rsidRPr="003E6F04">
        <w:rPr>
          <w:rFonts w:cstheme="minorHAnsi"/>
          <w:color w:val="000000"/>
          <w:szCs w:val="20"/>
        </w:rPr>
        <w:t xml:space="preserve">Pokud jsou loga zobrazována na internetových stránkách, musí být vždy v barevném provedení. Ve všech ostatních případech musí být použito barevné provedení kdykoli je to možné. Monochromatickou verzi lze použít pouze v odůvodněných případech. Tento metodický pokyn stanovuje, že za odůvodněný případ použití monochromatického loga lze považovat případy, kdy jsou materiály tištěny na běžných kancelářských tiskárnách a další případy, kdy materiál barevnou variantu neumožňuje, nebo by použití barevné verze log bylo nehospodárné, neekologické či neestetické. </w:t>
      </w:r>
    </w:p>
    <w:p w:rsidR="003E6F04" w:rsidRPr="003E6F04" w:rsidRDefault="003E6F04" w:rsidP="003E6F04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000000"/>
          <w:szCs w:val="20"/>
        </w:rPr>
      </w:pPr>
      <w:r w:rsidRPr="003E6F04">
        <w:rPr>
          <w:rFonts w:cstheme="minorHAnsi"/>
          <w:color w:val="000000"/>
          <w:szCs w:val="20"/>
        </w:rPr>
        <w:t>Pořízení černobílé kopie barevného originálu se nepovažuje za nedodržení pravidel publicity.</w:t>
      </w:r>
    </w:p>
    <w:p w:rsidR="003E6F04" w:rsidRDefault="003E6F04" w:rsidP="003E6F04">
      <w:pPr>
        <w:pStyle w:val="Nadpis2"/>
        <w:spacing w:after="240"/>
        <w:rPr>
          <w:sz w:val="28"/>
        </w:rPr>
      </w:pPr>
    </w:p>
    <w:p w:rsidR="003E6F04" w:rsidRPr="0001294E" w:rsidRDefault="003E6F04" w:rsidP="003E6F04">
      <w:pPr>
        <w:pStyle w:val="Nadpis2"/>
        <w:spacing w:after="240"/>
        <w:rPr>
          <w:sz w:val="28"/>
        </w:rPr>
      </w:pPr>
      <w:bookmarkStart w:id="5" w:name="_Toc115873634"/>
      <w:r w:rsidRPr="0001294E">
        <w:rPr>
          <w:sz w:val="28"/>
        </w:rPr>
        <w:t>Ochranná zóna log:</w:t>
      </w:r>
      <w:bookmarkEnd w:id="5"/>
    </w:p>
    <w:p w:rsidR="003E6F04" w:rsidRPr="00E92B4E" w:rsidRDefault="003E6F04" w:rsidP="003E6F04">
      <w:pPr>
        <w:jc w:val="both"/>
      </w:pPr>
      <w:r>
        <w:rPr>
          <w:noProof/>
        </w:rPr>
        <w:drawing>
          <wp:inline distT="0" distB="0" distL="0" distR="0" wp14:anchorId="6090AF43" wp14:editId="29A0845E">
            <wp:extent cx="6120130" cy="5359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F04" w:rsidRPr="00734134" w:rsidRDefault="003E6F04" w:rsidP="003E6F04">
      <w:pPr>
        <w:pStyle w:val="Pa13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 w:rsidRPr="00734134">
        <w:rPr>
          <w:rFonts w:asciiTheme="minorHAnsi" w:hAnsiTheme="minorHAnsi" w:cstheme="minorHAnsi"/>
          <w:color w:val="000000"/>
          <w:sz w:val="22"/>
          <w:szCs w:val="20"/>
        </w:rPr>
        <w:t xml:space="preserve">Ochranná zóna definuje minimální prázdnou plochu okolo log. </w:t>
      </w:r>
    </w:p>
    <w:p w:rsidR="003E6F04" w:rsidRPr="00734134" w:rsidRDefault="003E6F04" w:rsidP="003E6F04">
      <w:pPr>
        <w:pStyle w:val="Pa13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 w:rsidRPr="00734134">
        <w:rPr>
          <w:rFonts w:asciiTheme="minorHAnsi" w:hAnsiTheme="minorHAnsi" w:cstheme="minorHAnsi"/>
          <w:color w:val="000000"/>
          <w:sz w:val="22"/>
          <w:szCs w:val="20"/>
        </w:rPr>
        <w:t xml:space="preserve">Logo </w:t>
      </w:r>
      <w:r>
        <w:rPr>
          <w:rFonts w:asciiTheme="minorHAnsi" w:hAnsiTheme="minorHAnsi" w:cstheme="minorHAnsi"/>
          <w:color w:val="000000"/>
          <w:sz w:val="22"/>
          <w:szCs w:val="20"/>
        </w:rPr>
        <w:t>NPO</w:t>
      </w:r>
      <w:r w:rsidRPr="00734134">
        <w:rPr>
          <w:rFonts w:asciiTheme="minorHAnsi" w:hAnsiTheme="minorHAnsi" w:cstheme="minorHAnsi"/>
          <w:color w:val="000000"/>
          <w:sz w:val="22"/>
          <w:szCs w:val="20"/>
        </w:rPr>
        <w:t xml:space="preserve"> má stejnou výšku jako logo EU</w:t>
      </w:r>
      <w:r>
        <w:rPr>
          <w:rFonts w:asciiTheme="minorHAnsi" w:hAnsiTheme="minorHAnsi" w:cstheme="minorHAnsi"/>
          <w:color w:val="000000"/>
          <w:sz w:val="22"/>
          <w:szCs w:val="20"/>
        </w:rPr>
        <w:t xml:space="preserve"> a MPO</w:t>
      </w:r>
      <w:r w:rsidRPr="00734134">
        <w:rPr>
          <w:rFonts w:asciiTheme="minorHAnsi" w:hAnsiTheme="minorHAnsi" w:cstheme="minorHAnsi"/>
          <w:color w:val="000000"/>
          <w:sz w:val="22"/>
          <w:szCs w:val="20"/>
        </w:rPr>
        <w:t xml:space="preserve">. </w:t>
      </w:r>
      <w:r>
        <w:rPr>
          <w:rFonts w:asciiTheme="minorHAnsi" w:hAnsiTheme="minorHAnsi" w:cstheme="minorHAnsi"/>
          <w:color w:val="000000"/>
          <w:sz w:val="22"/>
          <w:szCs w:val="20"/>
        </w:rPr>
        <w:t>Logo NPO</w:t>
      </w:r>
      <w:r w:rsidRPr="00734134">
        <w:rPr>
          <w:rFonts w:asciiTheme="minorHAnsi" w:hAnsiTheme="minorHAnsi" w:cstheme="minorHAnsi"/>
          <w:color w:val="000000"/>
          <w:sz w:val="22"/>
          <w:szCs w:val="20"/>
        </w:rPr>
        <w:t xml:space="preserve"> je vůči těmto logům zarovnáno na střed. </w:t>
      </w:r>
    </w:p>
    <w:p w:rsidR="003E6F04" w:rsidRPr="00734134" w:rsidRDefault="003E6F04" w:rsidP="003E6F04">
      <w:pPr>
        <w:pStyle w:val="Pa13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 w:rsidRPr="00734134">
        <w:rPr>
          <w:rFonts w:asciiTheme="minorHAnsi" w:hAnsiTheme="minorHAnsi" w:cstheme="minorHAnsi"/>
          <w:color w:val="000000"/>
          <w:sz w:val="22"/>
          <w:szCs w:val="20"/>
        </w:rPr>
        <w:t xml:space="preserve">Mezi logy je dodržena ochranná zóna ve velikosti 2/3 výšky log. </w:t>
      </w:r>
    </w:p>
    <w:p w:rsidR="003E6F04" w:rsidRPr="00AF5BFE" w:rsidRDefault="003E6F04" w:rsidP="003E6F04">
      <w:pPr>
        <w:spacing w:line="360" w:lineRule="auto"/>
        <w:jc w:val="both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>Minimální velikost 12 mm</w:t>
      </w:r>
    </w:p>
    <w:p w:rsidR="003E6F04" w:rsidRDefault="003E6F04" w:rsidP="003E6F04">
      <w:pPr>
        <w:pStyle w:val="Titulek"/>
        <w:jc w:val="left"/>
        <w:rPr>
          <w:rFonts w:cstheme="minorHAnsi"/>
        </w:rPr>
      </w:pPr>
      <w:r>
        <w:rPr>
          <w:rFonts w:cstheme="minorHAnsi"/>
        </w:rPr>
        <w:drawing>
          <wp:inline distT="0" distB="0" distL="0" distR="0" wp14:anchorId="0E02DAA0" wp14:editId="1E89E2C0">
            <wp:extent cx="4524375" cy="12096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Obrázek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SEQ Obrázek \* ARABIC </w:instrText>
      </w:r>
      <w:r>
        <w:rPr>
          <w:rFonts w:cstheme="minorHAnsi"/>
        </w:rPr>
        <w:fldChar w:fldCharType="separate"/>
      </w:r>
      <w:r>
        <w:rPr>
          <w:rFonts w:cstheme="minorHAnsi"/>
        </w:rPr>
        <w:t>1</w:t>
      </w:r>
      <w:r>
        <w:rPr>
          <w:rFonts w:cstheme="minorHAnsi"/>
        </w:rPr>
        <w:fldChar w:fldCharType="end"/>
      </w:r>
      <w:r>
        <w:rPr>
          <w:rFonts w:cstheme="minorHAnsi"/>
        </w:rPr>
        <w:t>: Logo Evropské komise k NPO</w:t>
      </w:r>
    </w:p>
    <w:p w:rsidR="003E6F04" w:rsidRPr="005D0846" w:rsidRDefault="003E6F04" w:rsidP="003E6F04">
      <w:pPr>
        <w:spacing w:line="360" w:lineRule="auto"/>
        <w:ind w:left="360"/>
        <w:jc w:val="both"/>
        <w:rPr>
          <w:rFonts w:cstheme="minorHAnsi"/>
          <w:color w:val="000000"/>
          <w:szCs w:val="20"/>
        </w:rPr>
      </w:pPr>
    </w:p>
    <w:p w:rsidR="00AF5BFE" w:rsidRPr="00AF5BFE" w:rsidRDefault="00700870" w:rsidP="00AF5BFE">
      <w:pPr>
        <w:pStyle w:val="Nadpis2"/>
        <w:spacing w:after="240"/>
        <w:rPr>
          <w:sz w:val="28"/>
        </w:rPr>
      </w:pPr>
      <w:bookmarkStart w:id="6" w:name="_Toc115873635"/>
      <w:r w:rsidRPr="00AF5BFE">
        <w:rPr>
          <w:sz w:val="28"/>
        </w:rPr>
        <w:lastRenderedPageBreak/>
        <w:t>Povinné sdělení:</w:t>
      </w:r>
      <w:bookmarkEnd w:id="6"/>
    </w:p>
    <w:p w:rsidR="00700870" w:rsidRPr="00FA2ABA" w:rsidRDefault="00700870" w:rsidP="00734134">
      <w:pPr>
        <w:jc w:val="both"/>
        <w:rPr>
          <w:color w:val="E31B23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2ABA">
        <w:rPr>
          <w:color w:val="E31B23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„Tento projekt je </w:t>
      </w:r>
      <w:r w:rsidR="006872EE" w:rsidRPr="00FA2ABA">
        <w:rPr>
          <w:color w:val="E31B23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financován</w:t>
      </w:r>
      <w:r w:rsidRPr="00FA2ABA">
        <w:rPr>
          <w:color w:val="E31B23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</w:t>
      </w:r>
      <w:r w:rsidR="00184380" w:rsidRPr="00FA2ABA">
        <w:rPr>
          <w:color w:val="E31B23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prostředků</w:t>
      </w:r>
      <w:r w:rsidRPr="00FA2ABA">
        <w:rPr>
          <w:color w:val="E31B23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Evropské unie z fondu </w:t>
      </w:r>
      <w:proofErr w:type="spellStart"/>
      <w:r w:rsidRPr="00FA2ABA">
        <w:rPr>
          <w:color w:val="E31B23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Next</w:t>
      </w:r>
      <w:proofErr w:type="spellEnd"/>
      <w:r w:rsidRPr="00FA2ABA">
        <w:rPr>
          <w:color w:val="E31B23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A2ABA">
        <w:rPr>
          <w:color w:val="E31B23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Generation</w:t>
      </w:r>
      <w:proofErr w:type="spellEnd"/>
      <w:r w:rsidRPr="00FA2ABA">
        <w:rPr>
          <w:color w:val="E31B23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EU.“</w:t>
      </w:r>
    </w:p>
    <w:p w:rsidR="00230DC8" w:rsidRDefault="00700870" w:rsidP="00AF5BFE">
      <w:pPr>
        <w:jc w:val="both"/>
      </w:pPr>
      <w:r>
        <w:t xml:space="preserve">Je-li text umístěn na formátu A4, je minimální velikost písma 8 bodů. Na větších plochách, jako jsou například plakáty nebo </w:t>
      </w:r>
      <w:proofErr w:type="spellStart"/>
      <w:r>
        <w:t>roll-upy</w:t>
      </w:r>
      <w:proofErr w:type="spellEnd"/>
      <w:r>
        <w:t>, je velikost písma přímo úměrná velikosti plochy.</w:t>
      </w:r>
    </w:p>
    <w:p w:rsidR="00DC5B0E" w:rsidRPr="00230DC8" w:rsidRDefault="00DC5B0E" w:rsidP="00AF5BFE">
      <w:pPr>
        <w:jc w:val="both"/>
      </w:pPr>
    </w:p>
    <w:p w:rsidR="00576970" w:rsidRPr="00700870" w:rsidRDefault="00576970" w:rsidP="00734134">
      <w:pPr>
        <w:jc w:val="both"/>
        <w:rPr>
          <w:rFonts w:cstheme="minorHAnsi"/>
          <w:b/>
          <w:sz w:val="32"/>
        </w:rPr>
      </w:pPr>
    </w:p>
    <w:sectPr w:rsidR="00576970" w:rsidRPr="00700870" w:rsidSect="003E6F04">
      <w:headerReference w:type="default" r:id="rId14"/>
      <w:footerReference w:type="default" r:id="rId15"/>
      <w:pgSz w:w="11906" w:h="16838"/>
      <w:pgMar w:top="1843" w:right="1134" w:bottom="1701" w:left="1134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863" w:rsidRDefault="00DB3863" w:rsidP="00677FE0">
      <w:pPr>
        <w:spacing w:after="0" w:line="240" w:lineRule="auto"/>
      </w:pPr>
      <w:r>
        <w:separator/>
      </w:r>
    </w:p>
  </w:endnote>
  <w:endnote w:type="continuationSeparator" w:id="0">
    <w:p w:rsidR="00DB3863" w:rsidRDefault="00DB3863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Medium Pro">
    <w:altName w:val="JohnSans Medium Pr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486095"/>
      <w:docPartObj>
        <w:docPartGallery w:val="Page Numbers (Bottom of Page)"/>
        <w:docPartUnique/>
      </w:docPartObj>
    </w:sdtPr>
    <w:sdtEndPr/>
    <w:sdtContent>
      <w:p w:rsidR="00B24BDD" w:rsidRDefault="00B24B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4BDD" w:rsidRDefault="00B24B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863" w:rsidRDefault="00DB3863" w:rsidP="00677FE0">
      <w:pPr>
        <w:spacing w:after="0" w:line="240" w:lineRule="auto"/>
      </w:pPr>
      <w:r>
        <w:separator/>
      </w:r>
    </w:p>
  </w:footnote>
  <w:footnote w:type="continuationSeparator" w:id="0">
    <w:p w:rsidR="00DB3863" w:rsidRDefault="00DB3863" w:rsidP="00677FE0">
      <w:pPr>
        <w:spacing w:after="0" w:line="240" w:lineRule="auto"/>
      </w:pPr>
      <w:r>
        <w:continuationSeparator/>
      </w:r>
    </w:p>
  </w:footnote>
  <w:footnote w:id="1">
    <w:p w:rsidR="00AF5BFE" w:rsidRDefault="00AF5BFE" w:rsidP="00AF5BFE">
      <w:pPr>
        <w:pStyle w:val="Textpoznpodarou"/>
      </w:pPr>
      <w:r>
        <w:rPr>
          <w:rStyle w:val="Znakapoznpodarou"/>
        </w:rPr>
        <w:footnoteRef/>
      </w:r>
      <w:r>
        <w:t xml:space="preserve"> Odkaz pro stažení loga/typu/logotypu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872EE">
    <w:pPr>
      <w:pStyle w:val="Zhlav"/>
    </w:pPr>
    <w:r w:rsidRPr="006D39CC">
      <w:rPr>
        <w:rFonts w:cstheme="minorHAnsi"/>
        <w:noProof/>
      </w:rPr>
      <w:drawing>
        <wp:anchor distT="0" distB="0" distL="114300" distR="114300" simplePos="0" relativeHeight="251663360" behindDoc="1" locked="0" layoutInCell="1" allowOverlap="1" wp14:anchorId="209CA19C" wp14:editId="33F09E43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072437" cy="540000"/>
          <wp:effectExtent l="0" t="0" r="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žený soub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43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39CC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0DCB59C0" wp14:editId="4D3ED9EA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296000" cy="541416"/>
          <wp:effectExtent l="0" t="0" r="0" b="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ažený soubor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541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4134" w:rsidRPr="006D39CC">
      <w:rPr>
        <w:rFonts w:cstheme="minorHAnsi"/>
        <w:noProof/>
      </w:rPr>
      <w:drawing>
        <wp:anchor distT="0" distB="0" distL="114300" distR="114300" simplePos="0" relativeHeight="251659264" behindDoc="1" locked="1" layoutInCell="1" allowOverlap="1" wp14:anchorId="13B4370A" wp14:editId="03B03814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806575" cy="539750"/>
          <wp:effectExtent l="0" t="0" r="3175" b="0"/>
          <wp:wrapTight wrapText="bothSides">
            <wp:wrapPolygon edited="0">
              <wp:start x="0" y="0"/>
              <wp:lineTo x="0" y="20584"/>
              <wp:lineTo x="21410" y="20584"/>
              <wp:lineTo x="21410" y="0"/>
              <wp:lineTo x="0" y="0"/>
            </wp:wrapPolygon>
          </wp:wrapTight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4134">
      <w:ptab w:relativeTo="margin" w:alignment="center" w:leader="none"/>
    </w:r>
    <w:r w:rsidR="0073413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83023EE"/>
    <w:multiLevelType w:val="hybridMultilevel"/>
    <w:tmpl w:val="30C8C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1872DA"/>
    <w:multiLevelType w:val="multilevel"/>
    <w:tmpl w:val="E8A48D7C"/>
    <w:numStyleLink w:val="VariantaA-sla"/>
  </w:abstractNum>
  <w:abstractNum w:abstractNumId="19" w15:restartNumberingAfterBreak="0">
    <w:nsid w:val="19987FCF"/>
    <w:multiLevelType w:val="multilevel"/>
    <w:tmpl w:val="0D8ABE32"/>
    <w:numStyleLink w:val="VariantaB-sla"/>
  </w:abstractNum>
  <w:abstractNum w:abstractNumId="20" w15:restartNumberingAfterBreak="0">
    <w:nsid w:val="1A1D791C"/>
    <w:multiLevelType w:val="hybridMultilevel"/>
    <w:tmpl w:val="1E9E12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A412A"/>
    <w:multiLevelType w:val="hybridMultilevel"/>
    <w:tmpl w:val="95E4B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068A6"/>
    <w:multiLevelType w:val="multilevel"/>
    <w:tmpl w:val="3320A8B2"/>
    <w:numStyleLink w:val="VariantaB-odrky"/>
  </w:abstractNum>
  <w:abstractNum w:abstractNumId="24" w15:restartNumberingAfterBreak="0">
    <w:nsid w:val="1D464EC2"/>
    <w:multiLevelType w:val="multilevel"/>
    <w:tmpl w:val="E8BAE50A"/>
    <w:numStyleLink w:val="VariantaA-odrky"/>
  </w:abstractNum>
  <w:abstractNum w:abstractNumId="25" w15:restartNumberingAfterBreak="0">
    <w:nsid w:val="1EAB39CE"/>
    <w:multiLevelType w:val="multilevel"/>
    <w:tmpl w:val="E8BAE50A"/>
    <w:numStyleLink w:val="VariantaA-odrky"/>
  </w:abstractNum>
  <w:abstractNum w:abstractNumId="26" w15:restartNumberingAfterBreak="0">
    <w:nsid w:val="2386031D"/>
    <w:multiLevelType w:val="hybridMultilevel"/>
    <w:tmpl w:val="C2C0DD9E"/>
    <w:lvl w:ilvl="0" w:tplc="73E21938">
      <w:start w:val="1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9A5EA2"/>
    <w:multiLevelType w:val="multilevel"/>
    <w:tmpl w:val="E8BAE50A"/>
    <w:numStyleLink w:val="VariantaA-odrky"/>
  </w:abstractNum>
  <w:abstractNum w:abstractNumId="28" w15:restartNumberingAfterBreak="0">
    <w:nsid w:val="28AB573E"/>
    <w:multiLevelType w:val="multilevel"/>
    <w:tmpl w:val="3320A8B2"/>
    <w:numStyleLink w:val="VariantaB-odrky"/>
  </w:abstractNum>
  <w:abstractNum w:abstractNumId="29" w15:restartNumberingAfterBreak="0">
    <w:nsid w:val="2A5F2D39"/>
    <w:multiLevelType w:val="multilevel"/>
    <w:tmpl w:val="E8BAE50A"/>
    <w:numStyleLink w:val="VariantaA-odrky"/>
  </w:abstractNum>
  <w:abstractNum w:abstractNumId="30" w15:restartNumberingAfterBreak="0">
    <w:nsid w:val="2DBB2CE6"/>
    <w:multiLevelType w:val="multilevel"/>
    <w:tmpl w:val="E8BAE50A"/>
    <w:numStyleLink w:val="VariantaA-odrky"/>
  </w:abstractNum>
  <w:abstractNum w:abstractNumId="31" w15:restartNumberingAfterBreak="0">
    <w:nsid w:val="2FC13562"/>
    <w:multiLevelType w:val="hybridMultilevel"/>
    <w:tmpl w:val="650E39FC"/>
    <w:lvl w:ilvl="0" w:tplc="73E21938">
      <w:start w:val="1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C46152"/>
    <w:multiLevelType w:val="hybridMultilevel"/>
    <w:tmpl w:val="9774E2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5131EF"/>
    <w:multiLevelType w:val="multilevel"/>
    <w:tmpl w:val="E8A48D7C"/>
    <w:numStyleLink w:val="VariantaA-sla"/>
  </w:abstractNum>
  <w:abstractNum w:abstractNumId="34" w15:restartNumberingAfterBreak="0">
    <w:nsid w:val="37BC6BE3"/>
    <w:multiLevelType w:val="hybridMultilevel"/>
    <w:tmpl w:val="708E7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06389"/>
    <w:multiLevelType w:val="multilevel"/>
    <w:tmpl w:val="E8BAE50A"/>
    <w:numStyleLink w:val="VariantaA-odrky"/>
  </w:abstractNum>
  <w:abstractNum w:abstractNumId="36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3290926"/>
    <w:multiLevelType w:val="multilevel"/>
    <w:tmpl w:val="E8BAE50A"/>
    <w:numStyleLink w:val="VariantaA-odrky"/>
  </w:abstractNum>
  <w:abstractNum w:abstractNumId="38" w15:restartNumberingAfterBreak="0">
    <w:nsid w:val="533902EA"/>
    <w:multiLevelType w:val="multilevel"/>
    <w:tmpl w:val="E8BAE50A"/>
    <w:numStyleLink w:val="VariantaA-odrky"/>
  </w:abstractNum>
  <w:abstractNum w:abstractNumId="39" w15:restartNumberingAfterBreak="0">
    <w:nsid w:val="571C11E2"/>
    <w:multiLevelType w:val="multilevel"/>
    <w:tmpl w:val="E8A48D7C"/>
    <w:numStyleLink w:val="VariantaA-sla"/>
  </w:abstractNum>
  <w:abstractNum w:abstractNumId="40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41" w15:restartNumberingAfterBreak="0">
    <w:nsid w:val="5AF35F43"/>
    <w:multiLevelType w:val="multilevel"/>
    <w:tmpl w:val="0D8ABE32"/>
    <w:numStyleLink w:val="VariantaB-sla"/>
  </w:abstractNum>
  <w:abstractNum w:abstractNumId="42" w15:restartNumberingAfterBreak="0">
    <w:nsid w:val="6E5158AA"/>
    <w:multiLevelType w:val="hybridMultilevel"/>
    <w:tmpl w:val="50403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56673"/>
    <w:multiLevelType w:val="hybridMultilevel"/>
    <w:tmpl w:val="311E98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A5D40"/>
    <w:multiLevelType w:val="hybridMultilevel"/>
    <w:tmpl w:val="E760D112"/>
    <w:lvl w:ilvl="0" w:tplc="A6E40C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0"/>
  </w:num>
  <w:num w:numId="3">
    <w:abstractNumId w:val="23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6"/>
  </w:num>
  <w:num w:numId="7">
    <w:abstractNumId w:val="7"/>
  </w:num>
  <w:num w:numId="8">
    <w:abstractNumId w:val="39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8"/>
  </w:num>
  <w:num w:numId="14">
    <w:abstractNumId w:val="4"/>
  </w:num>
  <w:num w:numId="15">
    <w:abstractNumId w:val="3"/>
  </w:num>
  <w:num w:numId="16">
    <w:abstractNumId w:val="36"/>
  </w:num>
  <w:num w:numId="17">
    <w:abstractNumId w:val="24"/>
  </w:num>
  <w:num w:numId="18">
    <w:abstractNumId w:val="6"/>
  </w:num>
  <w:num w:numId="19">
    <w:abstractNumId w:val="12"/>
  </w:num>
  <w:num w:numId="20">
    <w:abstractNumId w:val="8"/>
  </w:num>
  <w:num w:numId="21">
    <w:abstractNumId w:val="33"/>
  </w:num>
  <w:num w:numId="22">
    <w:abstractNumId w:val="10"/>
  </w:num>
  <w:num w:numId="23">
    <w:abstractNumId w:val="25"/>
  </w:num>
  <w:num w:numId="24">
    <w:abstractNumId w:val="11"/>
  </w:num>
  <w:num w:numId="25">
    <w:abstractNumId w:val="15"/>
  </w:num>
  <w:num w:numId="26">
    <w:abstractNumId w:val="35"/>
  </w:num>
  <w:num w:numId="27">
    <w:abstractNumId w:val="30"/>
  </w:num>
  <w:num w:numId="28">
    <w:abstractNumId w:val="29"/>
  </w:num>
  <w:num w:numId="29">
    <w:abstractNumId w:val="19"/>
  </w:num>
  <w:num w:numId="30">
    <w:abstractNumId w:val="37"/>
  </w:num>
  <w:num w:numId="31">
    <w:abstractNumId w:val="41"/>
  </w:num>
  <w:num w:numId="32">
    <w:abstractNumId w:val="27"/>
  </w:num>
  <w:num w:numId="33">
    <w:abstractNumId w:val="18"/>
  </w:num>
  <w:num w:numId="34">
    <w:abstractNumId w:val="9"/>
  </w:num>
  <w:num w:numId="35">
    <w:abstractNumId w:val="28"/>
  </w:num>
  <w:num w:numId="36">
    <w:abstractNumId w:val="13"/>
  </w:num>
  <w:num w:numId="37">
    <w:abstractNumId w:val="26"/>
  </w:num>
  <w:num w:numId="38">
    <w:abstractNumId w:val="32"/>
  </w:num>
  <w:num w:numId="39">
    <w:abstractNumId w:val="43"/>
  </w:num>
  <w:num w:numId="40">
    <w:abstractNumId w:val="21"/>
  </w:num>
  <w:num w:numId="41">
    <w:abstractNumId w:val="31"/>
  </w:num>
  <w:num w:numId="42">
    <w:abstractNumId w:val="44"/>
  </w:num>
  <w:num w:numId="43">
    <w:abstractNumId w:val="42"/>
  </w:num>
  <w:num w:numId="44">
    <w:abstractNumId w:val="22"/>
  </w:num>
  <w:num w:numId="4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  <w:num w:numId="47">
    <w:abstractNumId w:val="22"/>
  </w:num>
  <w:num w:numId="48">
    <w:abstractNumId w:val="34"/>
  </w:num>
  <w:num w:numId="4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34"/>
    <w:rsid w:val="0001294E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0C6E67"/>
    <w:rsid w:val="00121485"/>
    <w:rsid w:val="001268B0"/>
    <w:rsid w:val="0018051B"/>
    <w:rsid w:val="00184380"/>
    <w:rsid w:val="001B1E4A"/>
    <w:rsid w:val="001D27C0"/>
    <w:rsid w:val="001E74C3"/>
    <w:rsid w:val="001F6937"/>
    <w:rsid w:val="00220DE3"/>
    <w:rsid w:val="00230DC8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63201"/>
    <w:rsid w:val="0039063C"/>
    <w:rsid w:val="003A46A8"/>
    <w:rsid w:val="003A51AA"/>
    <w:rsid w:val="003B565A"/>
    <w:rsid w:val="003D00A1"/>
    <w:rsid w:val="003E6F04"/>
    <w:rsid w:val="003F2FBD"/>
    <w:rsid w:val="0041427F"/>
    <w:rsid w:val="00435868"/>
    <w:rsid w:val="004509E5"/>
    <w:rsid w:val="00486FB9"/>
    <w:rsid w:val="004C212A"/>
    <w:rsid w:val="00500232"/>
    <w:rsid w:val="00504668"/>
    <w:rsid w:val="005455E1"/>
    <w:rsid w:val="005502BD"/>
    <w:rsid w:val="00556787"/>
    <w:rsid w:val="00576970"/>
    <w:rsid w:val="00582276"/>
    <w:rsid w:val="005C2560"/>
    <w:rsid w:val="005D0846"/>
    <w:rsid w:val="005F7585"/>
    <w:rsid w:val="00605759"/>
    <w:rsid w:val="00650C6C"/>
    <w:rsid w:val="00652FE6"/>
    <w:rsid w:val="00667898"/>
    <w:rsid w:val="00677FE0"/>
    <w:rsid w:val="006872EE"/>
    <w:rsid w:val="00687E32"/>
    <w:rsid w:val="006D04EF"/>
    <w:rsid w:val="006E2FB0"/>
    <w:rsid w:val="00700870"/>
    <w:rsid w:val="007102D2"/>
    <w:rsid w:val="00713948"/>
    <w:rsid w:val="007253C5"/>
    <w:rsid w:val="00734134"/>
    <w:rsid w:val="00743126"/>
    <w:rsid w:val="00753A27"/>
    <w:rsid w:val="0079342A"/>
    <w:rsid w:val="007B4949"/>
    <w:rsid w:val="007F0BC6"/>
    <w:rsid w:val="00831374"/>
    <w:rsid w:val="00857580"/>
    <w:rsid w:val="008618F6"/>
    <w:rsid w:val="00865238"/>
    <w:rsid w:val="008667BF"/>
    <w:rsid w:val="00895645"/>
    <w:rsid w:val="008A7851"/>
    <w:rsid w:val="008C3782"/>
    <w:rsid w:val="008D4A32"/>
    <w:rsid w:val="008D593A"/>
    <w:rsid w:val="008E7760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AF5BFE"/>
    <w:rsid w:val="00B0750E"/>
    <w:rsid w:val="00B1477A"/>
    <w:rsid w:val="00B20993"/>
    <w:rsid w:val="00B24BDD"/>
    <w:rsid w:val="00B34551"/>
    <w:rsid w:val="00B42E96"/>
    <w:rsid w:val="00B50EE6"/>
    <w:rsid w:val="00B52185"/>
    <w:rsid w:val="00B9753A"/>
    <w:rsid w:val="00BB479C"/>
    <w:rsid w:val="00BC2515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96EFE"/>
    <w:rsid w:val="00CC5E40"/>
    <w:rsid w:val="00D1569F"/>
    <w:rsid w:val="00D20B1E"/>
    <w:rsid w:val="00D22462"/>
    <w:rsid w:val="00D230AC"/>
    <w:rsid w:val="00D32489"/>
    <w:rsid w:val="00D3349E"/>
    <w:rsid w:val="00D73CB8"/>
    <w:rsid w:val="00D768A5"/>
    <w:rsid w:val="00DA7591"/>
    <w:rsid w:val="00DB3863"/>
    <w:rsid w:val="00DC3B79"/>
    <w:rsid w:val="00DC5B0E"/>
    <w:rsid w:val="00E118A4"/>
    <w:rsid w:val="00E32798"/>
    <w:rsid w:val="00E33CC8"/>
    <w:rsid w:val="00E51C91"/>
    <w:rsid w:val="00E667C1"/>
    <w:rsid w:val="00E92B4E"/>
    <w:rsid w:val="00EA6536"/>
    <w:rsid w:val="00EC3F88"/>
    <w:rsid w:val="00ED36D8"/>
    <w:rsid w:val="00EE6BD7"/>
    <w:rsid w:val="00F0689D"/>
    <w:rsid w:val="00FA2ABA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6886888-93DF-4C06-B7C9-B048CEE8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Seznam bodů,dd_odrazky,Conclusion de partie,_Odstavec se seznamem,Seznam - odrážky,Fiche List Paragraph,List Paragraph (Czech Tourism),Název grafu,nad 1,Odstavec se seznamem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Pa13">
    <w:name w:val="Pa13"/>
    <w:basedOn w:val="Normln"/>
    <w:next w:val="Normln"/>
    <w:uiPriority w:val="99"/>
    <w:rsid w:val="00734134"/>
    <w:pPr>
      <w:autoSpaceDE w:val="0"/>
      <w:autoSpaceDN w:val="0"/>
      <w:adjustRightInd w:val="0"/>
      <w:spacing w:after="0" w:line="201" w:lineRule="atLeast"/>
    </w:pPr>
    <w:rPr>
      <w:rFonts w:ascii="Segoe UI" w:hAnsi="Segoe UI" w:cs="Segoe UI"/>
      <w:color w:val="auto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576970"/>
    <w:pPr>
      <w:autoSpaceDE w:val="0"/>
      <w:autoSpaceDN w:val="0"/>
      <w:adjustRightInd w:val="0"/>
      <w:spacing w:after="0" w:line="201" w:lineRule="atLeast"/>
    </w:pPr>
    <w:rPr>
      <w:rFonts w:ascii="Segoe UI" w:hAnsi="Segoe UI" w:cs="Segoe UI"/>
      <w:color w:val="auto"/>
      <w:sz w:val="24"/>
      <w:szCs w:val="24"/>
    </w:rPr>
  </w:style>
  <w:style w:type="paragraph" w:customStyle="1" w:styleId="Pa8">
    <w:name w:val="Pa8"/>
    <w:basedOn w:val="Normln"/>
    <w:next w:val="Normln"/>
    <w:uiPriority w:val="99"/>
    <w:rsid w:val="00576970"/>
    <w:pPr>
      <w:autoSpaceDE w:val="0"/>
      <w:autoSpaceDN w:val="0"/>
      <w:adjustRightInd w:val="0"/>
      <w:spacing w:after="0" w:line="201" w:lineRule="atLeast"/>
    </w:pPr>
    <w:rPr>
      <w:rFonts w:ascii="Segoe UI" w:hAnsi="Segoe UI" w:cs="Segoe UI"/>
      <w:color w:val="auto"/>
      <w:sz w:val="24"/>
      <w:szCs w:val="24"/>
    </w:rPr>
  </w:style>
  <w:style w:type="paragraph" w:customStyle="1" w:styleId="Pa7">
    <w:name w:val="Pa7"/>
    <w:basedOn w:val="Normln"/>
    <w:next w:val="Normln"/>
    <w:uiPriority w:val="99"/>
    <w:rsid w:val="00576970"/>
    <w:pPr>
      <w:autoSpaceDE w:val="0"/>
      <w:autoSpaceDN w:val="0"/>
      <w:adjustRightInd w:val="0"/>
      <w:spacing w:after="0" w:line="201" w:lineRule="atLeast"/>
    </w:pPr>
    <w:rPr>
      <w:rFonts w:ascii="Segoe UI" w:hAnsi="Segoe UI" w:cs="Segoe UI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30DC8"/>
    <w:rPr>
      <w:color w:val="605E5C"/>
      <w:shd w:val="clear" w:color="auto" w:fill="E1DFDD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semiHidden/>
    <w:qFormat/>
    <w:locked/>
    <w:rsid w:val="00230DC8"/>
    <w:rPr>
      <w:rFonts w:ascii="Calibri" w:eastAsia="Calibri" w:hAnsi="Calibri" w:cs="Calibri"/>
      <w:color w:val="000000"/>
      <w:sz w:val="20"/>
      <w:szCs w:val="20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semiHidden/>
    <w:unhideWhenUsed/>
    <w:qFormat/>
    <w:rsid w:val="00230DC8"/>
    <w:pPr>
      <w:spacing w:after="0" w:line="240" w:lineRule="auto"/>
      <w:ind w:left="10" w:right="5" w:hanging="10"/>
      <w:jc w:val="both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230DC8"/>
    <w:rPr>
      <w:color w:val="000000" w:themeColor="text1"/>
      <w:sz w:val="20"/>
      <w:szCs w:val="20"/>
    </w:rPr>
  </w:style>
  <w:style w:type="character" w:customStyle="1" w:styleId="TitulekChar">
    <w:name w:val="Titulek Char"/>
    <w:link w:val="Titulek"/>
    <w:locked/>
    <w:rsid w:val="00230DC8"/>
    <w:rPr>
      <w:rFonts w:ascii="Calibri" w:hAnsi="Calibri" w:cs="Calibri"/>
      <w:i/>
      <w:iCs/>
      <w:noProof/>
      <w:color w:val="004B8D" w:themeColor="text2"/>
      <w:sz w:val="18"/>
      <w:szCs w:val="18"/>
    </w:rPr>
  </w:style>
  <w:style w:type="paragraph" w:styleId="Titulek">
    <w:name w:val="caption"/>
    <w:basedOn w:val="Normln"/>
    <w:next w:val="Normln"/>
    <w:link w:val="TitulekChar"/>
    <w:unhideWhenUsed/>
    <w:qFormat/>
    <w:rsid w:val="00230DC8"/>
    <w:pPr>
      <w:spacing w:after="200" w:line="360" w:lineRule="auto"/>
      <w:jc w:val="both"/>
    </w:pPr>
    <w:rPr>
      <w:rFonts w:ascii="Calibri" w:hAnsi="Calibri" w:cs="Calibri"/>
      <w:i/>
      <w:iCs/>
      <w:noProof/>
      <w:color w:val="004B8D" w:themeColor="text2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230DC8"/>
  </w:style>
  <w:style w:type="paragraph" w:styleId="Bezmezer">
    <w:name w:val="No Spacing"/>
    <w:link w:val="BezmezerChar"/>
    <w:uiPriority w:val="1"/>
    <w:qFormat/>
    <w:rsid w:val="00230DC8"/>
    <w:pPr>
      <w:spacing w:after="0" w:line="240" w:lineRule="auto"/>
    </w:pPr>
  </w:style>
  <w:style w:type="character" w:customStyle="1" w:styleId="OdstavecseseznamemChar">
    <w:name w:val="Odstavec se seznamem Char"/>
    <w:aliases w:val="Nad Char,Odstavec cíl se seznamem Char,Odstavec se seznamem5 Char,Seznam bodů Char,dd_odrazky Char,Conclusion de partie Char,_Odstavec se seznamem Char,Seznam - odrážky Char,Fiche List Paragraph Char,Název grafu Char,nad 1 Char"/>
    <w:link w:val="Odstavecseseznamem"/>
    <w:uiPriority w:val="34"/>
    <w:qFormat/>
    <w:locked/>
    <w:rsid w:val="00230DC8"/>
    <w:rPr>
      <w:color w:val="000000" w:themeColor="text1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230DC8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230DC8"/>
    <w:pPr>
      <w:spacing w:line="240" w:lineRule="exact"/>
      <w:jc w:val="both"/>
    </w:pPr>
    <w:rPr>
      <w:color w:val="auto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8F6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gional_policy/en/information/logos_downloadcenter/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regional_policy/en/information/logos_downloadcente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po.cz/cz/rozcestnik/ministerstvo/loga-ke-stazeni/loga-ministerstva-prumyslu-a-obchodu--2204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obnovycr.cz/dokument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6ECB6-50FE-406A-AA01-52C35888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14BA5C27.dotm</Template>
  <TotalTime>1</TotalTime>
  <Pages>6</Pages>
  <Words>1020</Words>
  <Characters>6022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Lucie</dc:creator>
  <cp:keywords/>
  <dc:description/>
  <cp:lastModifiedBy>Kozák Jan</cp:lastModifiedBy>
  <cp:revision>2</cp:revision>
  <dcterms:created xsi:type="dcterms:W3CDTF">2022-10-13T10:38:00Z</dcterms:created>
  <dcterms:modified xsi:type="dcterms:W3CDTF">2022-10-13T10:38:00Z</dcterms:modified>
</cp:coreProperties>
</file>