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D4BB2" w14:textId="77777777" w:rsidR="00AA0BC4" w:rsidRPr="00A72EF7" w:rsidRDefault="003A4C7F" w:rsidP="00AA0BC4">
      <w:pPr>
        <w:widowControl/>
        <w:overflowPunct w:val="0"/>
        <w:autoSpaceDE w:val="0"/>
        <w:autoSpaceDN w:val="0"/>
        <w:spacing w:before="600" w:line="240" w:lineRule="auto"/>
        <w:ind w:left="5664" w:firstLine="708"/>
        <w:rPr>
          <w:rFonts w:asciiTheme="minorHAnsi" w:hAnsiTheme="minorHAnsi" w:cstheme="minorHAnsi"/>
          <w:iCs/>
          <w:color w:val="0096D6"/>
          <w:sz w:val="28"/>
          <w:szCs w:val="2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1" locked="0" layoutInCell="1" allowOverlap="1" wp14:anchorId="4EAA94C6" wp14:editId="011A4F78">
            <wp:simplePos x="0" y="0"/>
            <wp:positionH relativeFrom="margin">
              <wp:posOffset>4594860</wp:posOffset>
            </wp:positionH>
            <wp:positionV relativeFrom="paragraph">
              <wp:posOffset>0</wp:posOffset>
            </wp:positionV>
            <wp:extent cx="1343025" cy="935990"/>
            <wp:effectExtent l="0" t="0" r="9525" b="0"/>
            <wp:wrapTight wrapText="bothSides">
              <wp:wrapPolygon edited="0">
                <wp:start x="1838" y="0"/>
                <wp:lineTo x="0" y="2638"/>
                <wp:lineTo x="0" y="21102"/>
                <wp:lineTo x="17464" y="21102"/>
                <wp:lineTo x="19915" y="21102"/>
                <wp:lineTo x="21447" y="21102"/>
                <wp:lineTo x="21447" y="18024"/>
                <wp:lineTo x="14094" y="14068"/>
                <wp:lineTo x="15013" y="4836"/>
                <wp:lineTo x="14094" y="2198"/>
                <wp:lineTo x="11949" y="0"/>
                <wp:lineTo x="183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ekt-logo_v369px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2EF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69675268" wp14:editId="3BD1593E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836420" cy="848360"/>
            <wp:effectExtent l="0" t="0" r="0" b="8890"/>
            <wp:wrapNone/>
            <wp:docPr id="5" name="Picture 5" descr="mp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o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BC4" w:rsidRPr="00A72EF7">
        <w:rPr>
          <w:rFonts w:asciiTheme="minorHAnsi" w:hAnsiTheme="minorHAnsi" w:cstheme="minorHAnsi"/>
          <w:iCs/>
          <w:color w:val="0096D6"/>
          <w:sz w:val="28"/>
          <w:szCs w:val="28"/>
        </w:rPr>
        <w:t xml:space="preserve"> </w:t>
      </w:r>
    </w:p>
    <w:p w14:paraId="186DDD68" w14:textId="77777777" w:rsidR="00AA0BC4" w:rsidRPr="00A72EF7" w:rsidRDefault="00AA0BC4" w:rsidP="00AA0BC4">
      <w:pPr>
        <w:widowControl/>
        <w:overflowPunct w:val="0"/>
        <w:autoSpaceDE w:val="0"/>
        <w:autoSpaceDN w:val="0"/>
        <w:spacing w:before="600" w:line="240" w:lineRule="auto"/>
        <w:rPr>
          <w:rFonts w:asciiTheme="minorHAnsi" w:hAnsiTheme="minorHAnsi" w:cstheme="minorHAnsi"/>
          <w:iCs/>
          <w:color w:val="0096D6"/>
          <w:sz w:val="28"/>
          <w:szCs w:val="28"/>
        </w:rPr>
      </w:pPr>
    </w:p>
    <w:p w14:paraId="49D3AE48" w14:textId="77777777" w:rsidR="00AA0BC4" w:rsidRPr="00A72EF7" w:rsidRDefault="00AA0BC4" w:rsidP="00AA0BC4">
      <w:pPr>
        <w:widowControl/>
        <w:overflowPunct w:val="0"/>
        <w:autoSpaceDE w:val="0"/>
        <w:autoSpaceDN w:val="0"/>
        <w:spacing w:before="600" w:line="240" w:lineRule="auto"/>
        <w:rPr>
          <w:rFonts w:asciiTheme="minorHAnsi" w:hAnsiTheme="minorHAnsi" w:cstheme="minorHAnsi"/>
          <w:iCs/>
          <w:color w:val="0096D6"/>
          <w:sz w:val="28"/>
          <w:szCs w:val="28"/>
        </w:rPr>
      </w:pPr>
    </w:p>
    <w:p w14:paraId="58D1CF48" w14:textId="77777777" w:rsidR="00943619" w:rsidRPr="00A72EF7" w:rsidRDefault="00943619" w:rsidP="00AA0BC4">
      <w:pPr>
        <w:widowControl/>
        <w:overflowPunct w:val="0"/>
        <w:autoSpaceDE w:val="0"/>
        <w:autoSpaceDN w:val="0"/>
        <w:spacing w:before="600" w:line="240" w:lineRule="auto"/>
        <w:rPr>
          <w:rFonts w:asciiTheme="minorHAnsi" w:hAnsiTheme="minorHAnsi" w:cstheme="minorHAnsi"/>
          <w:iCs/>
          <w:color w:val="0096D6"/>
          <w:sz w:val="28"/>
          <w:szCs w:val="28"/>
        </w:rPr>
      </w:pPr>
    </w:p>
    <w:p w14:paraId="0409CFCE" w14:textId="77777777" w:rsidR="00AA0BC4" w:rsidRPr="00A72EF7" w:rsidRDefault="00AA0BC4" w:rsidP="00AA0BC4">
      <w:pPr>
        <w:widowControl/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sz w:val="24"/>
        </w:rPr>
      </w:pPr>
    </w:p>
    <w:p w14:paraId="0775D2BA" w14:textId="77777777" w:rsidR="00AA0BC4" w:rsidRPr="00A72EF7" w:rsidRDefault="00AA0BC4" w:rsidP="00AA0BC4">
      <w:pPr>
        <w:widowControl/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sz w:val="24"/>
        </w:rPr>
      </w:pPr>
    </w:p>
    <w:p w14:paraId="4E21E896" w14:textId="77777777" w:rsidR="00AA0BC4" w:rsidRPr="00A72EF7" w:rsidRDefault="00AA0BC4" w:rsidP="00AA0BC4">
      <w:pPr>
        <w:widowControl/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sz w:val="24"/>
        </w:rPr>
      </w:pPr>
    </w:p>
    <w:p w14:paraId="05E4931E" w14:textId="77777777" w:rsidR="00AA0BC4" w:rsidRPr="00A72EF7" w:rsidRDefault="00AA0BC4" w:rsidP="00AA0BC4">
      <w:pPr>
        <w:widowControl/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sz w:val="24"/>
        </w:rPr>
      </w:pPr>
    </w:p>
    <w:p w14:paraId="2CECAA76" w14:textId="77777777" w:rsidR="00AA0BC4" w:rsidRPr="00A72EF7" w:rsidRDefault="00AA0BC4" w:rsidP="00AA0BC4">
      <w:pPr>
        <w:pStyle w:val="Nzev"/>
        <w:rPr>
          <w:rFonts w:asciiTheme="minorHAnsi" w:hAnsiTheme="minorHAnsi"/>
        </w:rPr>
      </w:pPr>
      <w:r w:rsidRPr="00A72EF7">
        <w:rPr>
          <w:rFonts w:asciiTheme="minorHAnsi" w:hAnsiTheme="minorHAnsi"/>
        </w:rPr>
        <w:t xml:space="preserve">METODICKÝ POKYN </w:t>
      </w:r>
    </w:p>
    <w:p w14:paraId="0E542C10" w14:textId="77777777" w:rsidR="00AA0BC4" w:rsidRPr="00A72EF7" w:rsidRDefault="00AA0BC4" w:rsidP="00AA0BC4">
      <w:pPr>
        <w:widowControl/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color w:val="004B8D"/>
          <w:sz w:val="72"/>
          <w:szCs w:val="72"/>
        </w:rPr>
      </w:pPr>
    </w:p>
    <w:p w14:paraId="68B6A8B4" w14:textId="032EA6E5" w:rsidR="00AA0BC4" w:rsidRPr="00A72EF7" w:rsidRDefault="00AA0BC4" w:rsidP="00D47392">
      <w:pPr>
        <w:pStyle w:val="Podnadpis"/>
        <w:rPr>
          <w:rFonts w:asciiTheme="minorHAnsi" w:hAnsiTheme="minorHAnsi" w:cstheme="minorHAnsi"/>
          <w:b/>
          <w:bCs/>
          <w:sz w:val="24"/>
        </w:rPr>
      </w:pPr>
      <w:r w:rsidRPr="00A72EF7">
        <w:rPr>
          <w:rFonts w:asciiTheme="minorHAnsi" w:hAnsiTheme="minorHAnsi"/>
        </w:rPr>
        <w:t xml:space="preserve">Pro žadatele o dotaci na </w:t>
      </w:r>
      <w:r w:rsidR="00D47392" w:rsidRPr="00D47392">
        <w:rPr>
          <w:rFonts w:asciiTheme="minorHAnsi" w:hAnsiTheme="minorHAnsi"/>
        </w:rPr>
        <w:t>zpracování analýzy vhodnosti metody EPC pro přípravu energeticky úsporného projektu</w:t>
      </w:r>
      <w:r w:rsidR="00D47392" w:rsidRPr="00D47392" w:rsidDel="00D47392">
        <w:rPr>
          <w:rFonts w:asciiTheme="minorHAnsi" w:hAnsiTheme="minorHAnsi"/>
        </w:rPr>
        <w:t xml:space="preserve"> </w:t>
      </w:r>
    </w:p>
    <w:p w14:paraId="4272F634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4F5C098C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18E725D7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76A364BF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755CE3B4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07985506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7A02788E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4BD7D453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31F94DFE" w14:textId="77777777" w:rsidR="00AA0BC4" w:rsidRPr="00A72EF7" w:rsidRDefault="00943619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A72EF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596F52" wp14:editId="271087CA">
            <wp:simplePos x="0" y="0"/>
            <wp:positionH relativeFrom="column">
              <wp:posOffset>1598330</wp:posOffset>
            </wp:positionH>
            <wp:positionV relativeFrom="paragraph">
              <wp:posOffset>181267</wp:posOffset>
            </wp:positionV>
            <wp:extent cx="5225415" cy="415671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415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31DAF2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47A94F4E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45543190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49FE2D11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3713B127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0980060E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0F74F53F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14F1212B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019239B4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6C6798B4" w14:textId="77777777" w:rsidR="002F21CD" w:rsidRDefault="002F21CD" w:rsidP="002F21CD">
      <w:pPr>
        <w:spacing w:line="240" w:lineRule="auto"/>
        <w:jc w:val="left"/>
        <w:rPr>
          <w:rFonts w:asciiTheme="minorHAnsi" w:hAnsiTheme="minorHAnsi" w:cstheme="minorHAnsi"/>
          <w:bCs/>
          <w:sz w:val="24"/>
        </w:rPr>
      </w:pPr>
    </w:p>
    <w:p w14:paraId="66617AA8" w14:textId="77777777" w:rsidR="002F21CD" w:rsidRDefault="002F21CD" w:rsidP="002F21CD">
      <w:pPr>
        <w:spacing w:line="240" w:lineRule="auto"/>
        <w:jc w:val="left"/>
        <w:rPr>
          <w:rFonts w:asciiTheme="minorHAnsi" w:hAnsiTheme="minorHAnsi" w:cstheme="minorHAnsi"/>
          <w:bCs/>
          <w:sz w:val="24"/>
        </w:rPr>
      </w:pPr>
    </w:p>
    <w:p w14:paraId="7E8B3D03" w14:textId="77777777" w:rsidR="002F21CD" w:rsidRDefault="002F21CD" w:rsidP="002F21CD">
      <w:pPr>
        <w:spacing w:line="240" w:lineRule="auto"/>
        <w:jc w:val="left"/>
        <w:rPr>
          <w:rFonts w:asciiTheme="minorHAnsi" w:hAnsiTheme="minorHAnsi" w:cstheme="minorHAnsi"/>
          <w:bCs/>
          <w:sz w:val="24"/>
        </w:rPr>
      </w:pPr>
    </w:p>
    <w:p w14:paraId="1A4E8511" w14:textId="77777777" w:rsidR="002F21CD" w:rsidRDefault="002F21CD" w:rsidP="002F21CD">
      <w:pPr>
        <w:spacing w:line="240" w:lineRule="auto"/>
        <w:jc w:val="left"/>
        <w:rPr>
          <w:rFonts w:asciiTheme="minorHAnsi" w:hAnsiTheme="minorHAnsi" w:cstheme="minorHAnsi"/>
          <w:bCs/>
          <w:sz w:val="24"/>
        </w:rPr>
      </w:pPr>
    </w:p>
    <w:p w14:paraId="0CECD356" w14:textId="77777777" w:rsidR="002F21CD" w:rsidRDefault="002F21CD" w:rsidP="002F21CD">
      <w:pPr>
        <w:spacing w:line="240" w:lineRule="auto"/>
        <w:jc w:val="left"/>
        <w:rPr>
          <w:rFonts w:asciiTheme="minorHAnsi" w:hAnsiTheme="minorHAnsi" w:cstheme="minorHAnsi"/>
          <w:bCs/>
          <w:sz w:val="24"/>
        </w:rPr>
      </w:pPr>
    </w:p>
    <w:p w14:paraId="2B1FE5A1" w14:textId="77777777" w:rsidR="002F21CD" w:rsidRDefault="002F21CD" w:rsidP="002F21CD">
      <w:pPr>
        <w:spacing w:line="240" w:lineRule="auto"/>
        <w:jc w:val="left"/>
        <w:rPr>
          <w:rFonts w:asciiTheme="minorHAnsi" w:hAnsiTheme="minorHAnsi" w:cstheme="minorHAnsi"/>
          <w:bCs/>
          <w:sz w:val="24"/>
        </w:rPr>
      </w:pPr>
    </w:p>
    <w:p w14:paraId="34842C6F" w14:textId="77777777" w:rsidR="002F21CD" w:rsidRDefault="002F21CD" w:rsidP="002F21CD">
      <w:pPr>
        <w:spacing w:line="240" w:lineRule="auto"/>
        <w:jc w:val="left"/>
        <w:rPr>
          <w:rFonts w:asciiTheme="minorHAnsi" w:hAnsiTheme="minorHAnsi" w:cstheme="minorHAnsi"/>
          <w:bCs/>
          <w:sz w:val="24"/>
        </w:rPr>
      </w:pPr>
    </w:p>
    <w:p w14:paraId="790690D8" w14:textId="77777777" w:rsidR="002F21CD" w:rsidRDefault="002F21CD" w:rsidP="002F21CD">
      <w:pPr>
        <w:spacing w:line="240" w:lineRule="auto"/>
        <w:jc w:val="left"/>
        <w:rPr>
          <w:rFonts w:asciiTheme="minorHAnsi" w:hAnsiTheme="minorHAnsi" w:cstheme="minorHAnsi"/>
          <w:bCs/>
          <w:sz w:val="24"/>
        </w:rPr>
      </w:pPr>
    </w:p>
    <w:p w14:paraId="61BC6204" w14:textId="4DA97551" w:rsidR="00AA0BC4" w:rsidRPr="002F21CD" w:rsidRDefault="002F21CD" w:rsidP="002F21CD">
      <w:pPr>
        <w:spacing w:line="240" w:lineRule="auto"/>
        <w:jc w:val="left"/>
        <w:rPr>
          <w:rFonts w:asciiTheme="minorHAnsi" w:hAnsiTheme="minorHAnsi" w:cstheme="minorHAnsi"/>
          <w:bCs/>
          <w:sz w:val="24"/>
        </w:rPr>
      </w:pPr>
      <w:bookmarkStart w:id="0" w:name="_GoBack"/>
      <w:bookmarkEnd w:id="0"/>
      <w:r w:rsidRPr="002F21CD">
        <w:rPr>
          <w:rFonts w:asciiTheme="minorHAnsi" w:hAnsiTheme="minorHAnsi" w:cstheme="minorHAnsi"/>
          <w:bCs/>
          <w:sz w:val="24"/>
        </w:rPr>
        <w:t>Verze 1 květen 2022</w:t>
      </w:r>
    </w:p>
    <w:p w14:paraId="13091311" w14:textId="77777777" w:rsidR="00AA0BC4" w:rsidRPr="00A72EF7" w:rsidRDefault="00AA0BC4" w:rsidP="00AA0BC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  <w:sectPr w:rsidR="00AA0BC4" w:rsidRPr="00A72EF7" w:rsidSect="009C7351">
          <w:footerReference w:type="default" r:id="rId11"/>
          <w:footerReference w:type="first" r:id="rId12"/>
          <w:pgSz w:w="11906" w:h="16838" w:code="9"/>
          <w:pgMar w:top="567" w:right="1134" w:bottom="992" w:left="1134" w:header="567" w:footer="0" w:gutter="0"/>
          <w:pgNumType w:start="1"/>
          <w:cols w:space="708"/>
          <w:titlePg/>
        </w:sectPr>
      </w:pPr>
    </w:p>
    <w:bookmarkStart w:id="1" w:name="_Toc468190957" w:displacedByCustomXml="next"/>
    <w:sdt>
      <w:sdtPr>
        <w:rPr>
          <w:rFonts w:asciiTheme="minorHAnsi" w:hAnsiTheme="minorHAnsi"/>
          <w:b w:val="0"/>
          <w:color w:val="auto"/>
          <w:sz w:val="20"/>
        </w:rPr>
        <w:id w:val="383907492"/>
        <w:docPartObj>
          <w:docPartGallery w:val="Table of Contents"/>
          <w:docPartUnique/>
        </w:docPartObj>
      </w:sdtPr>
      <w:sdtEndPr>
        <w:rPr>
          <w:rStyle w:val="Hypertextovodkaz"/>
          <w:rFonts w:eastAsiaTheme="majorEastAsia"/>
          <w:noProof/>
          <w:color w:val="004B8D" w:themeColor="hyperlink"/>
          <w:u w:val="single"/>
        </w:rPr>
      </w:sdtEndPr>
      <w:sdtContent>
        <w:p w14:paraId="5E2D296C" w14:textId="77777777" w:rsidR="00114578" w:rsidRDefault="00114578">
          <w:pPr>
            <w:pStyle w:val="Nadpisobsahu"/>
            <w:rPr>
              <w:rFonts w:asciiTheme="minorHAnsi" w:hAnsiTheme="minorHAnsi"/>
            </w:rPr>
          </w:pPr>
          <w:r w:rsidRPr="00A72EF7">
            <w:rPr>
              <w:rFonts w:asciiTheme="minorHAnsi" w:hAnsiTheme="minorHAnsi"/>
            </w:rPr>
            <w:t>Obsah</w:t>
          </w:r>
        </w:p>
        <w:p w14:paraId="059B018F" w14:textId="77777777" w:rsidR="008D201B" w:rsidRPr="00D47392" w:rsidRDefault="008D201B" w:rsidP="008D201B">
          <w:pPr>
            <w:rPr>
              <w:rFonts w:asciiTheme="minorHAnsi" w:hAnsiTheme="minorHAnsi" w:cstheme="minorHAnsi"/>
            </w:rPr>
          </w:pPr>
        </w:p>
        <w:p w14:paraId="4B269947" w14:textId="6C97BBF0" w:rsidR="00555ED6" w:rsidRDefault="00526F71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47392">
            <w:rPr>
              <w:rStyle w:val="Hypertextovodkaz"/>
              <w:rFonts w:asciiTheme="minorHAnsi" w:eastAsiaTheme="majorEastAsia" w:hAnsiTheme="minorHAnsi" w:cstheme="minorHAnsi"/>
              <w:noProof/>
            </w:rPr>
            <w:fldChar w:fldCharType="begin"/>
          </w:r>
          <w:r w:rsidR="00114578" w:rsidRPr="00D47392">
            <w:rPr>
              <w:rStyle w:val="Hypertextovodkaz"/>
              <w:rFonts w:asciiTheme="minorHAnsi" w:eastAsiaTheme="majorEastAsia" w:hAnsiTheme="minorHAnsi" w:cstheme="minorHAnsi"/>
              <w:noProof/>
            </w:rPr>
            <w:instrText xml:space="preserve"> TOC \o "1-3" \h \z \u </w:instrText>
          </w:r>
          <w:r w:rsidRPr="00D47392">
            <w:rPr>
              <w:rStyle w:val="Hypertextovodkaz"/>
              <w:rFonts w:asciiTheme="minorHAnsi" w:eastAsiaTheme="majorEastAsia" w:hAnsiTheme="minorHAnsi" w:cstheme="minorHAnsi"/>
              <w:noProof/>
            </w:rPr>
            <w:fldChar w:fldCharType="separate"/>
          </w:r>
          <w:hyperlink w:anchor="_Toc105499526" w:history="1">
            <w:r w:rsidR="00555ED6" w:rsidRPr="0009216D">
              <w:rPr>
                <w:rStyle w:val="Hypertextovodkaz"/>
                <w:rFonts w:eastAsiaTheme="majorEastAsia"/>
                <w:noProof/>
              </w:rPr>
              <w:t>1.</w:t>
            </w:r>
            <w:r w:rsidR="00555E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5ED6" w:rsidRPr="0009216D">
              <w:rPr>
                <w:rStyle w:val="Hypertextovodkaz"/>
                <w:rFonts w:eastAsiaTheme="majorEastAsia"/>
                <w:noProof/>
              </w:rPr>
              <w:t>Úvod</w:t>
            </w:r>
            <w:r w:rsidR="00555ED6">
              <w:rPr>
                <w:noProof/>
                <w:webHidden/>
              </w:rPr>
              <w:tab/>
            </w:r>
            <w:r w:rsidR="00555ED6">
              <w:rPr>
                <w:noProof/>
                <w:webHidden/>
              </w:rPr>
              <w:fldChar w:fldCharType="begin"/>
            </w:r>
            <w:r w:rsidR="00555ED6">
              <w:rPr>
                <w:noProof/>
                <w:webHidden/>
              </w:rPr>
              <w:instrText xml:space="preserve"> PAGEREF _Toc105499526 \h </w:instrText>
            </w:r>
            <w:r w:rsidR="00555ED6">
              <w:rPr>
                <w:noProof/>
                <w:webHidden/>
              </w:rPr>
            </w:r>
            <w:r w:rsidR="00555ED6">
              <w:rPr>
                <w:noProof/>
                <w:webHidden/>
              </w:rPr>
              <w:fldChar w:fldCharType="separate"/>
            </w:r>
            <w:r w:rsidR="00555ED6">
              <w:rPr>
                <w:noProof/>
                <w:webHidden/>
              </w:rPr>
              <w:t>2</w:t>
            </w:r>
            <w:r w:rsidR="00555ED6">
              <w:rPr>
                <w:noProof/>
                <w:webHidden/>
              </w:rPr>
              <w:fldChar w:fldCharType="end"/>
            </w:r>
          </w:hyperlink>
        </w:p>
        <w:p w14:paraId="22D31778" w14:textId="401EE8D7" w:rsidR="00555ED6" w:rsidRDefault="002F21CD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99527" w:history="1">
            <w:r w:rsidR="00555ED6" w:rsidRPr="0009216D">
              <w:rPr>
                <w:rStyle w:val="Hypertextovodkaz"/>
                <w:rFonts w:eastAsiaTheme="majorEastAsia"/>
                <w:noProof/>
              </w:rPr>
              <w:t>2.</w:t>
            </w:r>
            <w:r w:rsidR="00555E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5ED6" w:rsidRPr="0009216D">
              <w:rPr>
                <w:rStyle w:val="Hypertextovodkaz"/>
                <w:rFonts w:eastAsiaTheme="majorEastAsia"/>
                <w:noProof/>
              </w:rPr>
              <w:t>Podstata metody EPC</w:t>
            </w:r>
            <w:r w:rsidR="00555ED6">
              <w:rPr>
                <w:noProof/>
                <w:webHidden/>
              </w:rPr>
              <w:tab/>
            </w:r>
            <w:r w:rsidR="00555ED6">
              <w:rPr>
                <w:noProof/>
                <w:webHidden/>
              </w:rPr>
              <w:fldChar w:fldCharType="begin"/>
            </w:r>
            <w:r w:rsidR="00555ED6">
              <w:rPr>
                <w:noProof/>
                <w:webHidden/>
              </w:rPr>
              <w:instrText xml:space="preserve"> PAGEREF _Toc105499527 \h </w:instrText>
            </w:r>
            <w:r w:rsidR="00555ED6">
              <w:rPr>
                <w:noProof/>
                <w:webHidden/>
              </w:rPr>
            </w:r>
            <w:r w:rsidR="00555ED6">
              <w:rPr>
                <w:noProof/>
                <w:webHidden/>
              </w:rPr>
              <w:fldChar w:fldCharType="separate"/>
            </w:r>
            <w:r w:rsidR="00555ED6">
              <w:rPr>
                <w:noProof/>
                <w:webHidden/>
              </w:rPr>
              <w:t>2</w:t>
            </w:r>
            <w:r w:rsidR="00555ED6">
              <w:rPr>
                <w:noProof/>
                <w:webHidden/>
              </w:rPr>
              <w:fldChar w:fldCharType="end"/>
            </w:r>
          </w:hyperlink>
        </w:p>
        <w:p w14:paraId="17380A26" w14:textId="196BA910" w:rsidR="00555ED6" w:rsidRDefault="002F21CD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99528" w:history="1">
            <w:r w:rsidR="00555ED6" w:rsidRPr="0009216D">
              <w:rPr>
                <w:rStyle w:val="Hypertextovodkaz"/>
                <w:rFonts w:eastAsiaTheme="majorEastAsia"/>
                <w:noProof/>
              </w:rPr>
              <w:t>3.</w:t>
            </w:r>
            <w:r w:rsidR="00555E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5ED6" w:rsidRPr="0009216D">
              <w:rPr>
                <w:rStyle w:val="Hypertextovodkaz"/>
                <w:rFonts w:eastAsiaTheme="majorEastAsia"/>
                <w:noProof/>
              </w:rPr>
              <w:t>Vhodné typy opatření a návratnost projektu</w:t>
            </w:r>
            <w:r w:rsidR="00555ED6">
              <w:rPr>
                <w:noProof/>
                <w:webHidden/>
              </w:rPr>
              <w:tab/>
            </w:r>
            <w:r w:rsidR="00555ED6">
              <w:rPr>
                <w:noProof/>
                <w:webHidden/>
              </w:rPr>
              <w:fldChar w:fldCharType="begin"/>
            </w:r>
            <w:r w:rsidR="00555ED6">
              <w:rPr>
                <w:noProof/>
                <w:webHidden/>
              </w:rPr>
              <w:instrText xml:space="preserve"> PAGEREF _Toc105499528 \h </w:instrText>
            </w:r>
            <w:r w:rsidR="00555ED6">
              <w:rPr>
                <w:noProof/>
                <w:webHidden/>
              </w:rPr>
            </w:r>
            <w:r w:rsidR="00555ED6">
              <w:rPr>
                <w:noProof/>
                <w:webHidden/>
              </w:rPr>
              <w:fldChar w:fldCharType="separate"/>
            </w:r>
            <w:r w:rsidR="00555ED6">
              <w:rPr>
                <w:noProof/>
                <w:webHidden/>
              </w:rPr>
              <w:t>2</w:t>
            </w:r>
            <w:r w:rsidR="00555ED6">
              <w:rPr>
                <w:noProof/>
                <w:webHidden/>
              </w:rPr>
              <w:fldChar w:fldCharType="end"/>
            </w:r>
          </w:hyperlink>
        </w:p>
        <w:p w14:paraId="5BEA0615" w14:textId="0CD1078C" w:rsidR="00555ED6" w:rsidRDefault="002F21CD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99529" w:history="1">
            <w:r w:rsidR="00555ED6" w:rsidRPr="0009216D">
              <w:rPr>
                <w:rStyle w:val="Hypertextovodkaz"/>
                <w:rFonts w:eastAsiaTheme="majorEastAsia"/>
                <w:noProof/>
              </w:rPr>
              <w:t>4.</w:t>
            </w:r>
            <w:r w:rsidR="00555E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5ED6" w:rsidRPr="0009216D">
              <w:rPr>
                <w:rStyle w:val="Hypertextovodkaz"/>
                <w:rFonts w:eastAsiaTheme="majorEastAsia"/>
                <w:noProof/>
              </w:rPr>
              <w:t>Zpracovatel analýzy vhodnosti metody EPC</w:t>
            </w:r>
            <w:r w:rsidR="00555ED6">
              <w:rPr>
                <w:noProof/>
                <w:webHidden/>
              </w:rPr>
              <w:tab/>
            </w:r>
            <w:r w:rsidR="00555ED6">
              <w:rPr>
                <w:noProof/>
                <w:webHidden/>
              </w:rPr>
              <w:fldChar w:fldCharType="begin"/>
            </w:r>
            <w:r w:rsidR="00555ED6">
              <w:rPr>
                <w:noProof/>
                <w:webHidden/>
              </w:rPr>
              <w:instrText xml:space="preserve"> PAGEREF _Toc105499529 \h </w:instrText>
            </w:r>
            <w:r w:rsidR="00555ED6">
              <w:rPr>
                <w:noProof/>
                <w:webHidden/>
              </w:rPr>
            </w:r>
            <w:r w:rsidR="00555ED6">
              <w:rPr>
                <w:noProof/>
                <w:webHidden/>
              </w:rPr>
              <w:fldChar w:fldCharType="separate"/>
            </w:r>
            <w:r w:rsidR="00555ED6">
              <w:rPr>
                <w:noProof/>
                <w:webHidden/>
              </w:rPr>
              <w:t>3</w:t>
            </w:r>
            <w:r w:rsidR="00555ED6">
              <w:rPr>
                <w:noProof/>
                <w:webHidden/>
              </w:rPr>
              <w:fldChar w:fldCharType="end"/>
            </w:r>
          </w:hyperlink>
        </w:p>
        <w:p w14:paraId="3BF828E6" w14:textId="19031D84" w:rsidR="00555ED6" w:rsidRDefault="002F21CD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99530" w:history="1">
            <w:r w:rsidR="00555ED6" w:rsidRPr="0009216D">
              <w:rPr>
                <w:rStyle w:val="Hypertextovodkaz"/>
                <w:rFonts w:eastAsiaTheme="majorEastAsia"/>
                <w:noProof/>
              </w:rPr>
              <w:t>5.</w:t>
            </w:r>
            <w:r w:rsidR="00555E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5ED6" w:rsidRPr="0009216D">
              <w:rPr>
                <w:rStyle w:val="Hypertextovodkaz"/>
                <w:rFonts w:eastAsiaTheme="majorEastAsia"/>
                <w:noProof/>
              </w:rPr>
              <w:t>Obsah posouzení vhodnosti objektů pro projekt EPC</w:t>
            </w:r>
            <w:r w:rsidR="00555ED6">
              <w:rPr>
                <w:noProof/>
                <w:webHidden/>
              </w:rPr>
              <w:tab/>
            </w:r>
            <w:r w:rsidR="00555ED6">
              <w:rPr>
                <w:noProof/>
                <w:webHidden/>
              </w:rPr>
              <w:fldChar w:fldCharType="begin"/>
            </w:r>
            <w:r w:rsidR="00555ED6">
              <w:rPr>
                <w:noProof/>
                <w:webHidden/>
              </w:rPr>
              <w:instrText xml:space="preserve"> PAGEREF _Toc105499530 \h </w:instrText>
            </w:r>
            <w:r w:rsidR="00555ED6">
              <w:rPr>
                <w:noProof/>
                <w:webHidden/>
              </w:rPr>
            </w:r>
            <w:r w:rsidR="00555ED6">
              <w:rPr>
                <w:noProof/>
                <w:webHidden/>
              </w:rPr>
              <w:fldChar w:fldCharType="separate"/>
            </w:r>
            <w:r w:rsidR="00555ED6">
              <w:rPr>
                <w:noProof/>
                <w:webHidden/>
              </w:rPr>
              <w:t>3</w:t>
            </w:r>
            <w:r w:rsidR="00555ED6">
              <w:rPr>
                <w:noProof/>
                <w:webHidden/>
              </w:rPr>
              <w:fldChar w:fldCharType="end"/>
            </w:r>
          </w:hyperlink>
        </w:p>
        <w:p w14:paraId="3A45CE28" w14:textId="7241C150" w:rsidR="00555ED6" w:rsidRDefault="002F21CD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99531" w:history="1">
            <w:r w:rsidR="00555ED6" w:rsidRPr="0009216D">
              <w:rPr>
                <w:rStyle w:val="Hypertextovodkaz"/>
                <w:rFonts w:eastAsiaTheme="majorEastAsia"/>
                <w:noProof/>
              </w:rPr>
              <w:t>6.</w:t>
            </w:r>
            <w:r w:rsidR="00555E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5ED6" w:rsidRPr="0009216D">
              <w:rPr>
                <w:rStyle w:val="Hypertextovodkaz"/>
                <w:rFonts w:eastAsiaTheme="majorEastAsia"/>
                <w:noProof/>
              </w:rPr>
              <w:t>Ukončení realizace projektu</w:t>
            </w:r>
            <w:r w:rsidR="00555ED6">
              <w:rPr>
                <w:noProof/>
                <w:webHidden/>
              </w:rPr>
              <w:tab/>
            </w:r>
            <w:r w:rsidR="00555ED6">
              <w:rPr>
                <w:noProof/>
                <w:webHidden/>
              </w:rPr>
              <w:fldChar w:fldCharType="begin"/>
            </w:r>
            <w:r w:rsidR="00555ED6">
              <w:rPr>
                <w:noProof/>
                <w:webHidden/>
              </w:rPr>
              <w:instrText xml:space="preserve"> PAGEREF _Toc105499531 \h </w:instrText>
            </w:r>
            <w:r w:rsidR="00555ED6">
              <w:rPr>
                <w:noProof/>
                <w:webHidden/>
              </w:rPr>
            </w:r>
            <w:r w:rsidR="00555ED6">
              <w:rPr>
                <w:noProof/>
                <w:webHidden/>
              </w:rPr>
              <w:fldChar w:fldCharType="separate"/>
            </w:r>
            <w:r w:rsidR="00555ED6">
              <w:rPr>
                <w:noProof/>
                <w:webHidden/>
              </w:rPr>
              <w:t>4</w:t>
            </w:r>
            <w:r w:rsidR="00555ED6">
              <w:rPr>
                <w:noProof/>
                <w:webHidden/>
              </w:rPr>
              <w:fldChar w:fldCharType="end"/>
            </w:r>
          </w:hyperlink>
        </w:p>
        <w:p w14:paraId="23029CC4" w14:textId="6F80F2D8" w:rsidR="00555ED6" w:rsidRDefault="002F21CD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499532" w:history="1">
            <w:r w:rsidR="00555ED6" w:rsidRPr="0009216D">
              <w:rPr>
                <w:rStyle w:val="Hypertextovodkaz"/>
                <w:rFonts w:eastAsiaTheme="majorEastAsia"/>
                <w:noProof/>
              </w:rPr>
              <w:t>7.</w:t>
            </w:r>
            <w:r w:rsidR="00555E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5ED6" w:rsidRPr="0009216D">
              <w:rPr>
                <w:rStyle w:val="Hypertextovodkaz"/>
                <w:rFonts w:eastAsiaTheme="majorEastAsia"/>
                <w:noProof/>
              </w:rPr>
              <w:t>Povinné přílohy k žádosti o dotaci</w:t>
            </w:r>
            <w:r w:rsidR="00555ED6">
              <w:rPr>
                <w:noProof/>
                <w:webHidden/>
              </w:rPr>
              <w:tab/>
            </w:r>
            <w:r w:rsidR="00555ED6">
              <w:rPr>
                <w:noProof/>
                <w:webHidden/>
              </w:rPr>
              <w:fldChar w:fldCharType="begin"/>
            </w:r>
            <w:r w:rsidR="00555ED6">
              <w:rPr>
                <w:noProof/>
                <w:webHidden/>
              </w:rPr>
              <w:instrText xml:space="preserve"> PAGEREF _Toc105499532 \h </w:instrText>
            </w:r>
            <w:r w:rsidR="00555ED6">
              <w:rPr>
                <w:noProof/>
                <w:webHidden/>
              </w:rPr>
            </w:r>
            <w:r w:rsidR="00555ED6">
              <w:rPr>
                <w:noProof/>
                <w:webHidden/>
              </w:rPr>
              <w:fldChar w:fldCharType="separate"/>
            </w:r>
            <w:r w:rsidR="00555ED6">
              <w:rPr>
                <w:noProof/>
                <w:webHidden/>
              </w:rPr>
              <w:t>4</w:t>
            </w:r>
            <w:r w:rsidR="00555ED6">
              <w:rPr>
                <w:noProof/>
                <w:webHidden/>
              </w:rPr>
              <w:fldChar w:fldCharType="end"/>
            </w:r>
          </w:hyperlink>
        </w:p>
        <w:p w14:paraId="03844E58" w14:textId="197A8E47" w:rsidR="00085B06" w:rsidRPr="007C1C0A" w:rsidRDefault="00526F71" w:rsidP="007117C5">
          <w:pPr>
            <w:pStyle w:val="Obsah1"/>
            <w:tabs>
              <w:tab w:val="left" w:pos="440"/>
              <w:tab w:val="right" w:leader="dot" w:pos="9628"/>
            </w:tabs>
            <w:rPr>
              <w:rStyle w:val="Hypertextovodkaz"/>
              <w:rFonts w:asciiTheme="minorHAnsi" w:eastAsiaTheme="majorEastAsia" w:hAnsiTheme="minorHAnsi"/>
              <w:noProof/>
            </w:rPr>
            <w:sectPr w:rsidR="00085B06" w:rsidRPr="007C1C0A" w:rsidSect="00114578">
              <w:footerReference w:type="default" r:id="rId13"/>
              <w:pgSz w:w="11906" w:h="16838"/>
              <w:pgMar w:top="1134" w:right="1134" w:bottom="1134" w:left="1134" w:header="709" w:footer="709" w:gutter="0"/>
              <w:pgNumType w:start="1"/>
              <w:cols w:space="708"/>
              <w:docGrid w:linePitch="360"/>
            </w:sectPr>
          </w:pPr>
          <w:r w:rsidRPr="00D47392">
            <w:rPr>
              <w:rStyle w:val="Hypertextovodkaz"/>
              <w:rFonts w:asciiTheme="minorHAnsi" w:eastAsiaTheme="majorEastAsia" w:hAnsiTheme="minorHAnsi" w:cstheme="minorHAnsi"/>
              <w:noProof/>
            </w:rPr>
            <w:fldChar w:fldCharType="end"/>
          </w:r>
        </w:p>
      </w:sdtContent>
    </w:sdt>
    <w:p w14:paraId="05BE30AF" w14:textId="77777777" w:rsidR="001C2624" w:rsidRPr="00A72EF7" w:rsidRDefault="001C2624" w:rsidP="00114578">
      <w:pPr>
        <w:pStyle w:val="Nadpis1"/>
        <w:numPr>
          <w:ilvl w:val="0"/>
          <w:numId w:val="37"/>
        </w:numPr>
        <w:rPr>
          <w:rFonts w:asciiTheme="minorHAnsi" w:hAnsiTheme="minorHAnsi"/>
        </w:rPr>
      </w:pPr>
      <w:bookmarkStart w:id="2" w:name="_Toc105499526"/>
      <w:r w:rsidRPr="00A72EF7">
        <w:rPr>
          <w:rFonts w:asciiTheme="minorHAnsi" w:hAnsiTheme="minorHAnsi"/>
        </w:rPr>
        <w:lastRenderedPageBreak/>
        <w:t>Úvod</w:t>
      </w:r>
      <w:bookmarkEnd w:id="2"/>
      <w:bookmarkEnd w:id="1"/>
    </w:p>
    <w:p w14:paraId="6C5E4B37" w14:textId="77777777" w:rsidR="008D201B" w:rsidRDefault="008D201B" w:rsidP="005A0B15">
      <w:pPr>
        <w:rPr>
          <w:rFonts w:asciiTheme="minorHAnsi" w:hAnsiTheme="minorHAnsi"/>
          <w:sz w:val="22"/>
        </w:rPr>
      </w:pPr>
    </w:p>
    <w:p w14:paraId="3EDAC31A" w14:textId="2DBD88D6" w:rsidR="00306DBA" w:rsidRDefault="005A0B15" w:rsidP="00FF0BC3">
      <w:pPr>
        <w:spacing w:after="120"/>
        <w:rPr>
          <w:rFonts w:asciiTheme="minorHAnsi" w:hAnsiTheme="minorHAnsi"/>
          <w:sz w:val="22"/>
        </w:rPr>
      </w:pPr>
      <w:r w:rsidRPr="005A0B15">
        <w:rPr>
          <w:rFonts w:asciiTheme="minorHAnsi" w:hAnsiTheme="minorHAnsi"/>
          <w:sz w:val="22"/>
        </w:rPr>
        <w:t xml:space="preserve">Jedním ze způsobů, jak realizovat energeticky úsporná opatření, je poskytování energetických služeb se zaručeným výsledkem v podobě metody EPC. Metoda EPC (z anglického výrazu </w:t>
      </w:r>
      <w:proofErr w:type="spellStart"/>
      <w:r w:rsidRPr="005A0B15">
        <w:rPr>
          <w:rFonts w:asciiTheme="minorHAnsi" w:hAnsiTheme="minorHAnsi"/>
          <w:sz w:val="22"/>
        </w:rPr>
        <w:t>Energy</w:t>
      </w:r>
      <w:proofErr w:type="spellEnd"/>
      <w:r w:rsidRPr="005A0B15">
        <w:rPr>
          <w:rFonts w:asciiTheme="minorHAnsi" w:hAnsiTheme="minorHAnsi"/>
          <w:sz w:val="22"/>
        </w:rPr>
        <w:t xml:space="preserve"> Performance </w:t>
      </w:r>
      <w:proofErr w:type="spellStart"/>
      <w:r w:rsidRPr="005A0B15">
        <w:rPr>
          <w:rFonts w:asciiTheme="minorHAnsi" w:hAnsiTheme="minorHAnsi"/>
          <w:sz w:val="22"/>
        </w:rPr>
        <w:t>Contracting</w:t>
      </w:r>
      <w:proofErr w:type="spellEnd"/>
      <w:r w:rsidRPr="005A0B15">
        <w:rPr>
          <w:rFonts w:asciiTheme="minorHAnsi" w:hAnsiTheme="minorHAnsi"/>
          <w:sz w:val="22"/>
        </w:rPr>
        <w:t xml:space="preserve">) představuje </w:t>
      </w:r>
      <w:r w:rsidR="00D328A7">
        <w:rPr>
          <w:rFonts w:asciiTheme="minorHAnsi" w:hAnsiTheme="minorHAnsi"/>
          <w:sz w:val="22"/>
        </w:rPr>
        <w:t xml:space="preserve">jiný </w:t>
      </w:r>
      <w:r w:rsidRPr="005A0B15">
        <w:rPr>
          <w:rFonts w:asciiTheme="minorHAnsi" w:hAnsiTheme="minorHAnsi"/>
          <w:sz w:val="22"/>
        </w:rPr>
        <w:t xml:space="preserve">přístup k energetickému hospodářství, který umožňuje dosáhnout úspory energie a tím také snížit provozní náklady. </w:t>
      </w:r>
      <w:r w:rsidR="00FF0BC3">
        <w:rPr>
          <w:rFonts w:asciiTheme="minorHAnsi" w:hAnsiTheme="minorHAnsi"/>
          <w:sz w:val="22"/>
        </w:rPr>
        <w:t>O</w:t>
      </w:r>
      <w:r w:rsidRPr="005A0B15">
        <w:rPr>
          <w:rFonts w:asciiTheme="minorHAnsi" w:hAnsiTheme="minorHAnsi"/>
          <w:sz w:val="22"/>
        </w:rPr>
        <w:t>bvykle</w:t>
      </w:r>
      <w:r w:rsidR="00FF0BC3">
        <w:rPr>
          <w:rFonts w:asciiTheme="minorHAnsi" w:hAnsiTheme="minorHAnsi"/>
          <w:sz w:val="22"/>
        </w:rPr>
        <w:t xml:space="preserve"> není třeba vynaložit předem</w:t>
      </w:r>
      <w:r w:rsidRPr="005A0B15">
        <w:rPr>
          <w:rFonts w:asciiTheme="minorHAnsi" w:hAnsiTheme="minorHAnsi"/>
          <w:sz w:val="22"/>
        </w:rPr>
        <w:t xml:space="preserve"> prakticky žádný kapitál, protože úhrada potřebné investice je splácena z budoucích přínosů projektu.</w:t>
      </w:r>
    </w:p>
    <w:p w14:paraId="2E92A999" w14:textId="77777777" w:rsidR="00534D6A" w:rsidRPr="00534D6A" w:rsidRDefault="00534D6A" w:rsidP="00534D6A">
      <w:pPr>
        <w:spacing w:after="120"/>
        <w:rPr>
          <w:rFonts w:asciiTheme="minorHAnsi" w:hAnsiTheme="minorHAnsi"/>
          <w:sz w:val="22"/>
        </w:rPr>
      </w:pPr>
      <w:r w:rsidRPr="00534D6A">
        <w:rPr>
          <w:rFonts w:asciiTheme="minorHAnsi" w:hAnsiTheme="minorHAnsi"/>
          <w:sz w:val="22"/>
        </w:rPr>
        <w:t xml:space="preserve">Metoda EPC je jedním z nástrojů pro zvyšování energetické účinnosti reflektovaným směrnici Evropského parlamentu a Rady 2012/27/EU ze dne 25. října 2012 o energetické účinnosti. V podmínkách ČR je metoda EPC ukotvena v zákoně č. 406/2000 Sb. o hospodaření energií ve znění pozdějších předpisů. </w:t>
      </w:r>
    </w:p>
    <w:p w14:paraId="4769275C" w14:textId="77777777" w:rsidR="001C2624" w:rsidRPr="00A72EF7" w:rsidRDefault="001C2624" w:rsidP="001C2624">
      <w:pPr>
        <w:rPr>
          <w:rFonts w:asciiTheme="minorHAnsi" w:hAnsiTheme="minorHAnsi"/>
        </w:rPr>
      </w:pPr>
    </w:p>
    <w:p w14:paraId="2817DC33" w14:textId="77777777" w:rsidR="001C2624" w:rsidRPr="00A72EF7" w:rsidRDefault="005A0B15" w:rsidP="00114578">
      <w:pPr>
        <w:pStyle w:val="Nadpis1"/>
        <w:numPr>
          <w:ilvl w:val="0"/>
          <w:numId w:val="37"/>
        </w:numPr>
        <w:rPr>
          <w:rFonts w:asciiTheme="minorHAnsi" w:hAnsiTheme="minorHAnsi"/>
        </w:rPr>
      </w:pPr>
      <w:bookmarkStart w:id="3" w:name="_Toc464217970"/>
      <w:bookmarkStart w:id="4" w:name="_Toc464218009"/>
      <w:bookmarkStart w:id="5" w:name="_Toc468190959"/>
      <w:bookmarkStart w:id="6" w:name="_Toc105499527"/>
      <w:bookmarkEnd w:id="3"/>
      <w:bookmarkEnd w:id="4"/>
      <w:r>
        <w:rPr>
          <w:rFonts w:asciiTheme="minorHAnsi" w:hAnsiTheme="minorHAnsi"/>
        </w:rPr>
        <w:t xml:space="preserve">Podstata metody </w:t>
      </w:r>
      <w:bookmarkEnd w:id="5"/>
      <w:r>
        <w:rPr>
          <w:rFonts w:asciiTheme="minorHAnsi" w:hAnsiTheme="minorHAnsi"/>
        </w:rPr>
        <w:t>EPC</w:t>
      </w:r>
      <w:bookmarkEnd w:id="6"/>
    </w:p>
    <w:p w14:paraId="366759F5" w14:textId="77777777" w:rsidR="008D201B" w:rsidRDefault="008D201B" w:rsidP="005A0B15">
      <w:pPr>
        <w:spacing w:after="120"/>
        <w:rPr>
          <w:rFonts w:asciiTheme="minorHAnsi" w:hAnsiTheme="minorHAnsi"/>
          <w:sz w:val="22"/>
        </w:rPr>
      </w:pPr>
    </w:p>
    <w:p w14:paraId="35F2E625" w14:textId="5B375035" w:rsidR="005A0B15" w:rsidRPr="005A0B15" w:rsidRDefault="00306DBA" w:rsidP="005A0B15"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Podstatou metody EPC je</w:t>
      </w:r>
      <w:r w:rsidR="005A0B15" w:rsidRPr="005A0B15">
        <w:rPr>
          <w:rFonts w:asciiTheme="minorHAnsi" w:hAnsiTheme="minorHAnsi"/>
          <w:sz w:val="22"/>
        </w:rPr>
        <w:t xml:space="preserve"> poskytování energetických služeb se zaručeným výsledkem, kdy poskytovatel energetických služeb navrhne renovaci technologických zařízení, navržená opatření zrealizuje a </w:t>
      </w:r>
      <w:r>
        <w:rPr>
          <w:rFonts w:asciiTheme="minorHAnsi" w:hAnsiTheme="minorHAnsi"/>
          <w:sz w:val="22"/>
        </w:rPr>
        <w:t xml:space="preserve">obvykle </w:t>
      </w:r>
      <w:r w:rsidR="005A0B15" w:rsidRPr="005A0B15">
        <w:rPr>
          <w:rFonts w:asciiTheme="minorHAnsi" w:hAnsiTheme="minorHAnsi"/>
          <w:sz w:val="22"/>
        </w:rPr>
        <w:t xml:space="preserve">dokonce uhradí, a </w:t>
      </w:r>
      <w:r w:rsidR="00B6348B">
        <w:rPr>
          <w:rFonts w:asciiTheme="minorHAnsi" w:hAnsiTheme="minorHAnsi"/>
          <w:sz w:val="22"/>
        </w:rPr>
        <w:t xml:space="preserve">zejména </w:t>
      </w:r>
      <w:r w:rsidR="005A0B15" w:rsidRPr="005A0B15">
        <w:rPr>
          <w:rFonts w:asciiTheme="minorHAnsi" w:hAnsiTheme="minorHAnsi"/>
          <w:sz w:val="22"/>
        </w:rPr>
        <w:t xml:space="preserve">smluvně se zaručí, že investované finanční prostředky budou návratné z budoucích úspor provozních nákladů souvisejících s úsporou energie. Proto zákazník má jistotu, že finanční prostředky </w:t>
      </w:r>
      <w:r>
        <w:rPr>
          <w:rFonts w:asciiTheme="minorHAnsi" w:hAnsiTheme="minorHAnsi"/>
          <w:sz w:val="22"/>
        </w:rPr>
        <w:t xml:space="preserve">pro úhradu investičních </w:t>
      </w:r>
      <w:r w:rsidR="008D0E35">
        <w:rPr>
          <w:rFonts w:asciiTheme="minorHAnsi" w:hAnsiTheme="minorHAnsi"/>
          <w:sz w:val="22"/>
        </w:rPr>
        <w:t>nákladů</w:t>
      </w:r>
      <w:r>
        <w:rPr>
          <w:rFonts w:asciiTheme="minorHAnsi" w:hAnsiTheme="minorHAnsi"/>
          <w:sz w:val="22"/>
        </w:rPr>
        <w:t xml:space="preserve">, případně jejich podstatnou část, </w:t>
      </w:r>
      <w:r w:rsidR="005A0B15" w:rsidRPr="005A0B15">
        <w:rPr>
          <w:rFonts w:asciiTheme="minorHAnsi" w:hAnsiTheme="minorHAnsi"/>
          <w:sz w:val="22"/>
        </w:rPr>
        <w:t xml:space="preserve">nebude potřebovat a </w:t>
      </w:r>
      <w:r w:rsidR="00B6348B">
        <w:rPr>
          <w:rFonts w:asciiTheme="minorHAnsi" w:hAnsiTheme="minorHAnsi"/>
          <w:sz w:val="22"/>
        </w:rPr>
        <w:t xml:space="preserve">že bude </w:t>
      </w:r>
      <w:r w:rsidR="00B6348B" w:rsidRPr="005A0B15">
        <w:rPr>
          <w:rFonts w:asciiTheme="minorHAnsi" w:hAnsiTheme="minorHAnsi"/>
          <w:sz w:val="22"/>
        </w:rPr>
        <w:t xml:space="preserve">dobře postaráno </w:t>
      </w:r>
      <w:r w:rsidR="005A0B15" w:rsidRPr="005A0B15">
        <w:rPr>
          <w:rFonts w:asciiTheme="minorHAnsi" w:hAnsiTheme="minorHAnsi"/>
          <w:sz w:val="22"/>
        </w:rPr>
        <w:t xml:space="preserve">o </w:t>
      </w:r>
      <w:r w:rsidR="00B6348B">
        <w:rPr>
          <w:rFonts w:asciiTheme="minorHAnsi" w:hAnsiTheme="minorHAnsi"/>
          <w:sz w:val="22"/>
        </w:rPr>
        <w:t xml:space="preserve">funkčnost </w:t>
      </w:r>
      <w:r w:rsidR="005A0B15" w:rsidRPr="005A0B15">
        <w:rPr>
          <w:rFonts w:asciiTheme="minorHAnsi" w:hAnsiTheme="minorHAnsi"/>
          <w:sz w:val="22"/>
        </w:rPr>
        <w:t>nainstalované</w:t>
      </w:r>
      <w:r w:rsidR="00B6348B">
        <w:rPr>
          <w:rFonts w:asciiTheme="minorHAnsi" w:hAnsiTheme="minorHAnsi"/>
          <w:sz w:val="22"/>
        </w:rPr>
        <w:t>ho</w:t>
      </w:r>
      <w:r w:rsidR="005A0B15" w:rsidRPr="005A0B15">
        <w:rPr>
          <w:rFonts w:asciiTheme="minorHAnsi" w:hAnsiTheme="minorHAnsi"/>
          <w:sz w:val="22"/>
        </w:rPr>
        <w:t xml:space="preserve"> zařízení. Většinou jsou veškeré náklady na projekt postupně hrazeny splátkami, které jsou odvozeny z dosažených úspor nákladů na energii.</w:t>
      </w:r>
    </w:p>
    <w:p w14:paraId="4273E0A0" w14:textId="77777777" w:rsidR="005A0B15" w:rsidRPr="005A0B15" w:rsidRDefault="005A0B15" w:rsidP="005A0B15">
      <w:pPr>
        <w:spacing w:after="120"/>
        <w:rPr>
          <w:rFonts w:asciiTheme="minorHAnsi" w:hAnsiTheme="minorHAnsi"/>
          <w:sz w:val="22"/>
        </w:rPr>
      </w:pPr>
      <w:r w:rsidRPr="005A0B15">
        <w:rPr>
          <w:rFonts w:asciiTheme="minorHAnsi" w:hAnsiTheme="minorHAnsi"/>
          <w:sz w:val="22"/>
        </w:rPr>
        <w:t>EPC se často chápe v zúženém pojetí jako netradiční metoda financování a spotřebitelé o ni mají zájem především proto, že jim usnadní přístup ke zdroji financí. Zajištění financování ovšem bývá jen součástí celého komplexu služeb</w:t>
      </w:r>
      <w:r w:rsidR="00306DBA">
        <w:rPr>
          <w:rFonts w:asciiTheme="minorHAnsi" w:hAnsiTheme="minorHAnsi"/>
          <w:sz w:val="22"/>
        </w:rPr>
        <w:t xml:space="preserve"> a </w:t>
      </w:r>
      <w:r w:rsidR="00B6348B">
        <w:rPr>
          <w:rFonts w:asciiTheme="minorHAnsi" w:hAnsiTheme="minorHAnsi"/>
          <w:sz w:val="22"/>
        </w:rPr>
        <w:t xml:space="preserve">přitom </w:t>
      </w:r>
      <w:r w:rsidR="00306DBA">
        <w:rPr>
          <w:rFonts w:asciiTheme="minorHAnsi" w:hAnsiTheme="minorHAnsi"/>
          <w:sz w:val="22"/>
        </w:rPr>
        <w:t>není jeho nutnou podmínkou</w:t>
      </w:r>
      <w:r w:rsidRPr="005A0B15">
        <w:rPr>
          <w:rFonts w:asciiTheme="minorHAnsi" w:hAnsiTheme="minorHAnsi"/>
          <w:sz w:val="22"/>
        </w:rPr>
        <w:t>. Podstatné na poskytování energetických služeb formou projektu EPC jsou podmínky, za kterých je projekt realizován:</w:t>
      </w:r>
    </w:p>
    <w:p w14:paraId="727D2307" w14:textId="77777777" w:rsidR="005A0B15" w:rsidRDefault="005A0B15" w:rsidP="00733AC4">
      <w:pPr>
        <w:pStyle w:val="Odstavecseseznamem"/>
        <w:widowControl/>
        <w:numPr>
          <w:ilvl w:val="0"/>
          <w:numId w:val="27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 w:rsidRPr="005A0B15">
        <w:rPr>
          <w:rFonts w:asciiTheme="minorHAnsi" w:hAnsiTheme="minorHAnsi"/>
          <w:sz w:val="22"/>
        </w:rPr>
        <w:t xml:space="preserve">dodavatel ručí za </w:t>
      </w:r>
      <w:r w:rsidR="00306DBA">
        <w:rPr>
          <w:rFonts w:asciiTheme="minorHAnsi" w:hAnsiTheme="minorHAnsi"/>
          <w:sz w:val="22"/>
        </w:rPr>
        <w:t xml:space="preserve">smluvně </w:t>
      </w:r>
      <w:r w:rsidRPr="005A0B15">
        <w:rPr>
          <w:rFonts w:asciiTheme="minorHAnsi" w:hAnsiTheme="minorHAnsi"/>
          <w:sz w:val="22"/>
        </w:rPr>
        <w:t>sjednaný objem úspor energie,</w:t>
      </w:r>
    </w:p>
    <w:p w14:paraId="45B5B9A1" w14:textId="77777777" w:rsidR="00306DBA" w:rsidRPr="005A0B15" w:rsidRDefault="00306DBA" w:rsidP="00733AC4">
      <w:pPr>
        <w:pStyle w:val="Odstavecseseznamem"/>
        <w:widowControl/>
        <w:numPr>
          <w:ilvl w:val="0"/>
          <w:numId w:val="27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 w:rsidRPr="005A0B15">
        <w:rPr>
          <w:rFonts w:asciiTheme="minorHAnsi" w:hAnsiTheme="minorHAnsi"/>
          <w:sz w:val="22"/>
        </w:rPr>
        <w:t>dodavatel přebírá část rizik spojených s</w:t>
      </w:r>
      <w:r>
        <w:rPr>
          <w:rFonts w:asciiTheme="minorHAnsi" w:hAnsiTheme="minorHAnsi"/>
          <w:sz w:val="22"/>
        </w:rPr>
        <w:t xml:space="preserve"> dosažením </w:t>
      </w:r>
      <w:r w:rsidR="00501D83">
        <w:rPr>
          <w:rFonts w:asciiTheme="minorHAnsi" w:hAnsiTheme="minorHAnsi"/>
          <w:sz w:val="22"/>
        </w:rPr>
        <w:t>úspor energie a s </w:t>
      </w:r>
      <w:r w:rsidRPr="005A0B15">
        <w:rPr>
          <w:rFonts w:asciiTheme="minorHAnsi" w:hAnsiTheme="minorHAnsi"/>
          <w:sz w:val="22"/>
        </w:rPr>
        <w:t>realizací</w:t>
      </w:r>
      <w:r w:rsidR="00501D83">
        <w:rPr>
          <w:rFonts w:asciiTheme="minorHAnsi" w:hAnsiTheme="minorHAnsi"/>
          <w:sz w:val="22"/>
        </w:rPr>
        <w:t xml:space="preserve"> energeticky úsporných opatření</w:t>
      </w:r>
      <w:r w:rsidRPr="005A0B15">
        <w:rPr>
          <w:rFonts w:asciiTheme="minorHAnsi" w:hAnsiTheme="minorHAnsi"/>
          <w:sz w:val="22"/>
        </w:rPr>
        <w:t>, př</w:t>
      </w:r>
      <w:r>
        <w:rPr>
          <w:rFonts w:asciiTheme="minorHAnsi" w:hAnsiTheme="minorHAnsi"/>
          <w:sz w:val="22"/>
        </w:rPr>
        <w:t>ípadně i se splácením investice,</w:t>
      </w:r>
    </w:p>
    <w:p w14:paraId="679F3984" w14:textId="77777777" w:rsidR="005A0B15" w:rsidRPr="00306DBA" w:rsidRDefault="005A0B15" w:rsidP="00306DBA">
      <w:pPr>
        <w:pStyle w:val="Odstavecseseznamem"/>
        <w:widowControl/>
        <w:numPr>
          <w:ilvl w:val="0"/>
          <w:numId w:val="27"/>
        </w:numPr>
        <w:adjustRightInd/>
        <w:spacing w:after="60" w:line="240" w:lineRule="auto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 w:rsidRPr="005A0B15">
        <w:rPr>
          <w:rFonts w:asciiTheme="minorHAnsi" w:hAnsiTheme="minorHAnsi"/>
          <w:sz w:val="22"/>
        </w:rPr>
        <w:t xml:space="preserve">investice </w:t>
      </w:r>
      <w:r w:rsidR="00306DBA">
        <w:rPr>
          <w:rFonts w:asciiTheme="minorHAnsi" w:hAnsiTheme="minorHAnsi"/>
          <w:sz w:val="22"/>
        </w:rPr>
        <w:t>mohou být</w:t>
      </w:r>
      <w:r w:rsidRPr="005A0B15">
        <w:rPr>
          <w:rFonts w:asciiTheme="minorHAnsi" w:hAnsiTheme="minorHAnsi"/>
          <w:sz w:val="22"/>
        </w:rPr>
        <w:t xml:space="preserve"> spláceny z dosažených úspor provozních nákladů</w:t>
      </w:r>
      <w:r w:rsidR="00306DBA">
        <w:rPr>
          <w:rFonts w:asciiTheme="minorHAnsi" w:hAnsiTheme="minorHAnsi"/>
          <w:sz w:val="22"/>
        </w:rPr>
        <w:t>.</w:t>
      </w:r>
    </w:p>
    <w:p w14:paraId="626E6999" w14:textId="77777777" w:rsidR="005A0B15" w:rsidRDefault="005A0B15" w:rsidP="00114578">
      <w:pPr>
        <w:spacing w:after="120"/>
        <w:rPr>
          <w:rFonts w:asciiTheme="minorHAnsi" w:hAnsiTheme="minorHAnsi"/>
          <w:sz w:val="22"/>
        </w:rPr>
      </w:pPr>
    </w:p>
    <w:p w14:paraId="5EF9B082" w14:textId="77777777" w:rsidR="00CC4498" w:rsidRPr="005A0B15" w:rsidRDefault="00CC4498" w:rsidP="00CC4498">
      <w:pPr>
        <w:pStyle w:val="Nadpis1"/>
        <w:numPr>
          <w:ilvl w:val="0"/>
          <w:numId w:val="37"/>
        </w:numPr>
        <w:rPr>
          <w:rFonts w:asciiTheme="minorHAnsi" w:hAnsiTheme="minorHAnsi"/>
        </w:rPr>
      </w:pPr>
      <w:bookmarkStart w:id="7" w:name="_Toc105499528"/>
      <w:r w:rsidRPr="005A0B15">
        <w:rPr>
          <w:rFonts w:asciiTheme="minorHAnsi" w:hAnsiTheme="minorHAnsi"/>
        </w:rPr>
        <w:t>Vhodné typy opatření</w:t>
      </w:r>
      <w:r>
        <w:rPr>
          <w:rFonts w:asciiTheme="minorHAnsi" w:hAnsiTheme="minorHAnsi"/>
        </w:rPr>
        <w:t xml:space="preserve"> a návratnost projektu</w:t>
      </w:r>
      <w:bookmarkEnd w:id="7"/>
    </w:p>
    <w:p w14:paraId="2BF551F4" w14:textId="77777777" w:rsidR="00CC4498" w:rsidRDefault="00CC4498" w:rsidP="00CC4498">
      <w:pPr>
        <w:spacing w:after="120"/>
        <w:rPr>
          <w:rFonts w:asciiTheme="minorHAnsi" w:hAnsiTheme="minorHAnsi"/>
          <w:sz w:val="22"/>
        </w:rPr>
      </w:pPr>
    </w:p>
    <w:p w14:paraId="7D55D89A" w14:textId="77777777" w:rsidR="00CC4498" w:rsidRPr="008D201B" w:rsidRDefault="00CC4498" w:rsidP="00CC4498">
      <w:pPr>
        <w:spacing w:after="120"/>
        <w:rPr>
          <w:rFonts w:asciiTheme="minorHAnsi" w:hAnsiTheme="minorHAnsi"/>
          <w:sz w:val="22"/>
        </w:rPr>
      </w:pPr>
      <w:r w:rsidRPr="008D201B">
        <w:rPr>
          <w:rFonts w:asciiTheme="minorHAnsi" w:hAnsiTheme="minorHAnsi"/>
          <w:sz w:val="22"/>
        </w:rPr>
        <w:t>Mezi vhodná energeticky úsporná opatření, která jsou obvykle řešena v rámci projektu EPC, patří následující opatření:</w:t>
      </w:r>
    </w:p>
    <w:p w14:paraId="6163796A" w14:textId="77777777" w:rsidR="00CC4498" w:rsidRPr="008D201B" w:rsidRDefault="00CC4498" w:rsidP="00111804">
      <w:pPr>
        <w:pStyle w:val="Odstavecseseznamem"/>
        <w:widowControl/>
        <w:numPr>
          <w:ilvl w:val="0"/>
          <w:numId w:val="27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 w:rsidRPr="008D201B">
        <w:rPr>
          <w:rFonts w:asciiTheme="minorHAnsi" w:hAnsiTheme="minorHAnsi"/>
          <w:sz w:val="22"/>
        </w:rPr>
        <w:t>organizace řízení spotřeby energie v podobě důsledného provádění energetického managementu,</w:t>
      </w:r>
    </w:p>
    <w:p w14:paraId="4035BFE2" w14:textId="77777777" w:rsidR="00CC4498" w:rsidRPr="008D201B" w:rsidRDefault="00CC4498" w:rsidP="00111804">
      <w:pPr>
        <w:pStyle w:val="Odstavecseseznamem"/>
        <w:widowControl/>
        <w:numPr>
          <w:ilvl w:val="0"/>
          <w:numId w:val="27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 w:rsidRPr="008D201B">
        <w:rPr>
          <w:rFonts w:asciiTheme="minorHAnsi" w:hAnsiTheme="minorHAnsi"/>
          <w:sz w:val="22"/>
        </w:rPr>
        <w:t>instalace systému měření a regulace spotřeby energie,</w:t>
      </w:r>
    </w:p>
    <w:p w14:paraId="690F1BEA" w14:textId="77777777" w:rsidR="00CC4498" w:rsidRPr="008D201B" w:rsidRDefault="00CC4498" w:rsidP="00111804">
      <w:pPr>
        <w:pStyle w:val="Odstavecseseznamem"/>
        <w:widowControl/>
        <w:numPr>
          <w:ilvl w:val="0"/>
          <w:numId w:val="27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 w:rsidRPr="008D201B">
        <w:rPr>
          <w:rFonts w:asciiTheme="minorHAnsi" w:hAnsiTheme="minorHAnsi"/>
          <w:sz w:val="22"/>
        </w:rPr>
        <w:lastRenderedPageBreak/>
        <w:t>instalace různých technologických zařízení, kdy může jít o rekonstrukci stávajících zařízení nebo o instalaci nových zařízení.</w:t>
      </w:r>
    </w:p>
    <w:p w14:paraId="03AEBF8C" w14:textId="77777777" w:rsidR="00CC4498" w:rsidRDefault="00CC4498" w:rsidP="00CC4498">
      <w:pPr>
        <w:spacing w:after="120"/>
        <w:rPr>
          <w:rFonts w:asciiTheme="minorHAnsi" w:hAnsiTheme="minorHAnsi"/>
          <w:sz w:val="22"/>
        </w:rPr>
      </w:pPr>
      <w:r w:rsidRPr="008D201B">
        <w:rPr>
          <w:rFonts w:asciiTheme="minorHAnsi" w:hAnsiTheme="minorHAnsi"/>
          <w:sz w:val="22"/>
        </w:rPr>
        <w:t>Po realizaci opatření předává firma energetických služeb instalovaná zařízení do majetku vlastníka objektu a zároveň začíná průběžně sledovat proces spotřeby energie, vyhodnocuje úspory energie a garantuje dosažení smluvně sjednaného objemu úspor energie.</w:t>
      </w:r>
    </w:p>
    <w:p w14:paraId="61F701AC" w14:textId="77777777" w:rsidR="00CC4498" w:rsidRPr="008D201B" w:rsidRDefault="00CC4498" w:rsidP="00CC4498"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Doba trvání smluvního vztahu je stanovována při navrhování zadávací dokumentace, která je zpracována pro vyhlašovanou veřejnou zakázku a obvykle vychází ze zpracované analýzy vhodnosti vybraných objektů pro uplatnění metody EPC. V analýze jsou navržena vhodná opatření, je navržena jejich investiční náročnost a proveden odhad potenciálu úspor energie a tím i snížení provozních nákladů souvisejících se spotřebou energie. V tom smyslu se doba trvání smluvního vztahu odvíjí od návratnosti vložených investičních prostředků. Je ovšem obvyklé, že doba trvání smluvního vztahu je u EPC projektů ve veřejném sektoru na 8 až 10 let a poslední dobou se objevují i v českých podmínkách projekty na 12 nebo dokonce na 15 let.</w:t>
      </w:r>
    </w:p>
    <w:p w14:paraId="663442BA" w14:textId="77777777" w:rsidR="005A0B15" w:rsidRPr="008D201B" w:rsidRDefault="005A0B15" w:rsidP="008D201B">
      <w:pPr>
        <w:spacing w:after="120"/>
        <w:rPr>
          <w:rFonts w:asciiTheme="minorHAnsi" w:hAnsiTheme="minorHAnsi"/>
          <w:sz w:val="22"/>
        </w:rPr>
      </w:pPr>
    </w:p>
    <w:p w14:paraId="7DF0CCF5" w14:textId="2E2A97F6" w:rsidR="005A0B15" w:rsidRPr="005A0B15" w:rsidRDefault="00111804" w:rsidP="005A0B15">
      <w:pPr>
        <w:pStyle w:val="Nadpis1"/>
        <w:numPr>
          <w:ilvl w:val="0"/>
          <w:numId w:val="37"/>
        </w:numPr>
        <w:rPr>
          <w:rFonts w:asciiTheme="minorHAnsi" w:hAnsiTheme="minorHAnsi"/>
        </w:rPr>
      </w:pPr>
      <w:bookmarkStart w:id="8" w:name="_Toc105499529"/>
      <w:bookmarkStart w:id="9" w:name="_Toc145334123"/>
      <w:bookmarkStart w:id="10" w:name="_Toc145646633"/>
      <w:r>
        <w:rPr>
          <w:rFonts w:asciiTheme="minorHAnsi" w:hAnsiTheme="minorHAnsi"/>
        </w:rPr>
        <w:t>Zpraco</w:t>
      </w:r>
      <w:r w:rsidR="00E05515">
        <w:rPr>
          <w:rFonts w:asciiTheme="minorHAnsi" w:hAnsiTheme="minorHAnsi"/>
        </w:rPr>
        <w:t>vatel</w:t>
      </w:r>
      <w:r>
        <w:rPr>
          <w:rFonts w:asciiTheme="minorHAnsi" w:hAnsiTheme="minorHAnsi"/>
        </w:rPr>
        <w:t xml:space="preserve"> analýzy vhodnosti metody </w:t>
      </w:r>
      <w:r w:rsidR="005A0B15" w:rsidRPr="005A0B15">
        <w:rPr>
          <w:rFonts w:asciiTheme="minorHAnsi" w:hAnsiTheme="minorHAnsi"/>
        </w:rPr>
        <w:t>EPC</w:t>
      </w:r>
      <w:bookmarkEnd w:id="8"/>
    </w:p>
    <w:p w14:paraId="19F3C8B8" w14:textId="77777777" w:rsidR="008D201B" w:rsidRDefault="008D201B" w:rsidP="008D201B">
      <w:pPr>
        <w:spacing w:after="120"/>
        <w:rPr>
          <w:rFonts w:asciiTheme="minorHAnsi" w:hAnsiTheme="minorHAnsi"/>
          <w:sz w:val="22"/>
        </w:rPr>
      </w:pPr>
    </w:p>
    <w:p w14:paraId="4B4651FC" w14:textId="622E49E0" w:rsidR="00535F54" w:rsidRDefault="00CC4498" w:rsidP="008D201B"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Pro zpracování analýzy vhodnosti metody EPC při řešení energeticky úsporného projektu je </w:t>
      </w:r>
      <w:r w:rsidR="00BE2A85">
        <w:rPr>
          <w:rFonts w:asciiTheme="minorHAnsi" w:hAnsiTheme="minorHAnsi"/>
          <w:sz w:val="22"/>
        </w:rPr>
        <w:t>velmi důležité</w:t>
      </w:r>
      <w:r w:rsidR="005A0B15" w:rsidRPr="008D201B">
        <w:rPr>
          <w:rFonts w:asciiTheme="minorHAnsi" w:hAnsiTheme="minorHAnsi"/>
          <w:sz w:val="22"/>
        </w:rPr>
        <w:t xml:space="preserve"> najít vhodného partnera</w:t>
      </w:r>
      <w:r>
        <w:rPr>
          <w:rFonts w:asciiTheme="minorHAnsi" w:hAnsiTheme="minorHAnsi"/>
          <w:sz w:val="22"/>
        </w:rPr>
        <w:t xml:space="preserve">, </w:t>
      </w:r>
      <w:r w:rsidR="005A0B15" w:rsidRPr="008D201B">
        <w:rPr>
          <w:rFonts w:asciiTheme="minorHAnsi" w:hAnsiTheme="minorHAnsi"/>
          <w:sz w:val="22"/>
        </w:rPr>
        <w:t xml:space="preserve">který může správným nastavením celého procesu ušetřit velké finanční prostředky v uspořených nákladech, u kterých by při standardní realizaci vlastník objektu </w:t>
      </w:r>
      <w:r w:rsidR="005A0B15" w:rsidRPr="00535F54">
        <w:rPr>
          <w:rFonts w:asciiTheme="minorHAnsi" w:hAnsiTheme="minorHAnsi"/>
          <w:sz w:val="22"/>
        </w:rPr>
        <w:t>obvykle vůbec nezjistil, že je může získat.</w:t>
      </w:r>
      <w:r w:rsidR="00B610E8" w:rsidRPr="00535F54">
        <w:rPr>
          <w:rFonts w:asciiTheme="minorHAnsi" w:hAnsiTheme="minorHAnsi"/>
          <w:sz w:val="22"/>
        </w:rPr>
        <w:t xml:space="preserve"> </w:t>
      </w:r>
      <w:r w:rsidR="00111804">
        <w:rPr>
          <w:rFonts w:asciiTheme="minorHAnsi" w:hAnsiTheme="minorHAnsi"/>
          <w:sz w:val="22"/>
        </w:rPr>
        <w:t xml:space="preserve">Zpracovatele analýzy vhodnosti </w:t>
      </w:r>
      <w:r w:rsidR="00B610E8" w:rsidRPr="00535F54">
        <w:rPr>
          <w:rFonts w:asciiTheme="minorHAnsi" w:hAnsiTheme="minorHAnsi"/>
          <w:sz w:val="22"/>
        </w:rPr>
        <w:t>je možné najít například mezi ostatními poskytovateli energetických služeb v seznamu, který je uveřejněn na webové stránce</w:t>
      </w:r>
      <w:r w:rsidR="00535F54" w:rsidRPr="00535F54">
        <w:rPr>
          <w:rFonts w:asciiTheme="minorHAnsi" w:hAnsiTheme="minorHAnsi"/>
          <w:sz w:val="22"/>
        </w:rPr>
        <w:t xml:space="preserve">: </w:t>
      </w:r>
      <w:hyperlink r:id="rId14" w:history="1">
        <w:r w:rsidR="00535F54" w:rsidRPr="00F611B2">
          <w:rPr>
            <w:rStyle w:val="Hypertextovodkaz"/>
            <w:rFonts w:asciiTheme="minorHAnsi" w:hAnsiTheme="minorHAnsi"/>
            <w:sz w:val="22"/>
          </w:rPr>
          <w:t>http://www.mpo.cz/cz/energetika/energeticka-ucinnost/energeticke-sluzby/seznam-poskytovatelu-energetickych-sluzeb--170967/</w:t>
        </w:r>
      </w:hyperlink>
      <w:r w:rsidR="00535F54">
        <w:rPr>
          <w:rFonts w:asciiTheme="minorHAnsi" w:hAnsiTheme="minorHAnsi"/>
          <w:sz w:val="22"/>
        </w:rPr>
        <w:t xml:space="preserve">. </w:t>
      </w:r>
    </w:p>
    <w:p w14:paraId="4E73A1B1" w14:textId="1BA9C869" w:rsidR="00D96C37" w:rsidRDefault="00D96C37" w:rsidP="00D96C3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Výběr zpracovatele analýzy vhodnosti se dokládá formou </w:t>
      </w:r>
      <w:r>
        <w:rPr>
          <w:rFonts w:asciiTheme="minorHAnsi" w:hAnsiTheme="minorHAnsi"/>
          <w:b/>
          <w:sz w:val="22"/>
        </w:rPr>
        <w:t>V</w:t>
      </w:r>
      <w:r w:rsidRPr="007D5CCD">
        <w:rPr>
          <w:rFonts w:asciiTheme="minorHAnsi" w:hAnsiTheme="minorHAnsi"/>
          <w:b/>
          <w:sz w:val="22"/>
        </w:rPr>
        <w:t>yhodnocení nabídek veřejné zakázky na zpracování analýzy vhodnosti objektů pro metodu EPC</w:t>
      </w:r>
      <w:r>
        <w:rPr>
          <w:rFonts w:asciiTheme="minorHAnsi" w:hAnsiTheme="minorHAnsi"/>
          <w:sz w:val="22"/>
        </w:rPr>
        <w:t>. Toto vyhodnocení se dokládá až po akceptaci žádosti o dotaci, není nutné jej předložit v termínu pro podání žádosti.</w:t>
      </w:r>
    </w:p>
    <w:p w14:paraId="089A2B03" w14:textId="77777777" w:rsidR="00E37588" w:rsidRPr="008D201B" w:rsidRDefault="00E37588" w:rsidP="00E37588">
      <w:pPr>
        <w:spacing w:after="120"/>
        <w:rPr>
          <w:rFonts w:asciiTheme="minorHAnsi" w:hAnsiTheme="minorHAnsi"/>
          <w:sz w:val="22"/>
        </w:rPr>
      </w:pPr>
    </w:p>
    <w:p w14:paraId="1D70C1E6" w14:textId="77777777" w:rsidR="00E37588" w:rsidRPr="00E37588" w:rsidRDefault="00E37588" w:rsidP="00E37588">
      <w:pPr>
        <w:pStyle w:val="Nadpis1"/>
        <w:numPr>
          <w:ilvl w:val="0"/>
          <w:numId w:val="37"/>
        </w:numPr>
        <w:spacing w:after="120"/>
        <w:rPr>
          <w:rFonts w:asciiTheme="minorHAnsi" w:hAnsiTheme="minorHAnsi"/>
          <w:sz w:val="22"/>
        </w:rPr>
      </w:pPr>
      <w:bookmarkStart w:id="11" w:name="_Toc105499530"/>
      <w:r w:rsidRPr="00E37588">
        <w:rPr>
          <w:rFonts w:asciiTheme="minorHAnsi" w:hAnsiTheme="minorHAnsi"/>
        </w:rPr>
        <w:t>Obsah posouzení vhodnosti objektů pro projekt EPC</w:t>
      </w:r>
      <w:bookmarkEnd w:id="11"/>
    </w:p>
    <w:p w14:paraId="09CB43B0" w14:textId="77777777" w:rsidR="00E37588" w:rsidRDefault="00E37588" w:rsidP="00E37588"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 zpracovaném posouzení </w:t>
      </w:r>
      <w:r w:rsidRPr="004F0D2E">
        <w:rPr>
          <w:rFonts w:asciiTheme="minorHAnsi" w:hAnsiTheme="minorHAnsi"/>
          <w:sz w:val="22"/>
        </w:rPr>
        <w:t xml:space="preserve">vhodnosti </w:t>
      </w:r>
      <w:r>
        <w:rPr>
          <w:rFonts w:asciiTheme="minorHAnsi" w:hAnsiTheme="minorHAnsi"/>
          <w:sz w:val="22"/>
        </w:rPr>
        <w:t xml:space="preserve">vybraných </w:t>
      </w:r>
      <w:r w:rsidRPr="004F0D2E">
        <w:rPr>
          <w:rFonts w:asciiTheme="minorHAnsi" w:hAnsiTheme="minorHAnsi"/>
          <w:sz w:val="22"/>
        </w:rPr>
        <w:t>objektů pro projekt EPC</w:t>
      </w:r>
      <w:r>
        <w:rPr>
          <w:rFonts w:asciiTheme="minorHAnsi" w:hAnsiTheme="minorHAnsi"/>
          <w:sz w:val="22"/>
        </w:rPr>
        <w:t xml:space="preserve"> musí být obsaženo:</w:t>
      </w:r>
    </w:p>
    <w:p w14:paraId="55F07414" w14:textId="77777777" w:rsidR="00E37588" w:rsidRDefault="00E37588" w:rsidP="00111804">
      <w:pPr>
        <w:pStyle w:val="Odstavecseseznamem"/>
        <w:widowControl/>
        <w:numPr>
          <w:ilvl w:val="0"/>
          <w:numId w:val="27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stručný popis energetického hospodářství se specifikací roční spotřeby všech druhů energie (případně i vody) v technických jednotkách a finančním vyjádření,</w:t>
      </w:r>
    </w:p>
    <w:p w14:paraId="04A20580" w14:textId="77777777" w:rsidR="00E37588" w:rsidRDefault="00E37588" w:rsidP="00111804">
      <w:pPr>
        <w:pStyle w:val="Odstavecseseznamem"/>
        <w:widowControl/>
        <w:numPr>
          <w:ilvl w:val="0"/>
          <w:numId w:val="27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přehled </w:t>
      </w:r>
      <w:r w:rsidRPr="008D201B">
        <w:rPr>
          <w:rFonts w:asciiTheme="minorHAnsi" w:hAnsiTheme="minorHAnsi"/>
          <w:sz w:val="22"/>
        </w:rPr>
        <w:t xml:space="preserve">navrhovaných </w:t>
      </w:r>
      <w:r>
        <w:rPr>
          <w:rFonts w:asciiTheme="minorHAnsi" w:hAnsiTheme="minorHAnsi"/>
          <w:sz w:val="22"/>
        </w:rPr>
        <w:t xml:space="preserve">energeticky úsporných </w:t>
      </w:r>
      <w:r w:rsidRPr="008D201B">
        <w:rPr>
          <w:rFonts w:asciiTheme="minorHAnsi" w:hAnsiTheme="minorHAnsi"/>
          <w:sz w:val="22"/>
        </w:rPr>
        <w:t>opatření</w:t>
      </w:r>
      <w:r>
        <w:rPr>
          <w:rFonts w:asciiTheme="minorHAnsi" w:hAnsiTheme="minorHAnsi"/>
          <w:sz w:val="22"/>
        </w:rPr>
        <w:t xml:space="preserve"> na snížení spotřeby energie se specifikací předpokladu </w:t>
      </w:r>
      <w:r w:rsidRPr="008D201B">
        <w:rPr>
          <w:rFonts w:asciiTheme="minorHAnsi" w:hAnsiTheme="minorHAnsi"/>
          <w:sz w:val="22"/>
        </w:rPr>
        <w:t xml:space="preserve">investičních </w:t>
      </w:r>
      <w:r>
        <w:rPr>
          <w:rFonts w:asciiTheme="minorHAnsi" w:hAnsiTheme="minorHAnsi"/>
          <w:sz w:val="22"/>
        </w:rPr>
        <w:t>nákladů</w:t>
      </w:r>
      <w:r w:rsidRPr="008D201B">
        <w:rPr>
          <w:rFonts w:asciiTheme="minorHAnsi" w:hAnsiTheme="minorHAnsi"/>
          <w:sz w:val="22"/>
        </w:rPr>
        <w:t xml:space="preserve"> na realizaci </w:t>
      </w:r>
      <w:r>
        <w:rPr>
          <w:rFonts w:asciiTheme="minorHAnsi" w:hAnsiTheme="minorHAnsi"/>
          <w:sz w:val="22"/>
        </w:rPr>
        <w:t xml:space="preserve">jednotlivých </w:t>
      </w:r>
      <w:r w:rsidRPr="008D201B">
        <w:rPr>
          <w:rFonts w:asciiTheme="minorHAnsi" w:hAnsiTheme="minorHAnsi"/>
          <w:sz w:val="22"/>
        </w:rPr>
        <w:t xml:space="preserve">navrhovaných </w:t>
      </w:r>
      <w:r>
        <w:rPr>
          <w:rFonts w:asciiTheme="minorHAnsi" w:hAnsiTheme="minorHAnsi"/>
          <w:sz w:val="22"/>
        </w:rPr>
        <w:t xml:space="preserve">energeticky úsporných </w:t>
      </w:r>
      <w:r w:rsidRPr="008D201B">
        <w:rPr>
          <w:rFonts w:asciiTheme="minorHAnsi" w:hAnsiTheme="minorHAnsi"/>
          <w:sz w:val="22"/>
        </w:rPr>
        <w:t>opatření</w:t>
      </w:r>
      <w:r>
        <w:rPr>
          <w:rFonts w:asciiTheme="minorHAnsi" w:hAnsiTheme="minorHAnsi"/>
          <w:sz w:val="22"/>
        </w:rPr>
        <w:t>,</w:t>
      </w:r>
    </w:p>
    <w:p w14:paraId="56B9B7FF" w14:textId="77777777" w:rsidR="00E37588" w:rsidRDefault="00E37588" w:rsidP="00111804">
      <w:pPr>
        <w:pStyle w:val="Odstavecseseznamem"/>
        <w:widowControl/>
        <w:numPr>
          <w:ilvl w:val="0"/>
          <w:numId w:val="27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 w:rsidRPr="008D201B">
        <w:rPr>
          <w:rFonts w:asciiTheme="minorHAnsi" w:hAnsiTheme="minorHAnsi"/>
          <w:sz w:val="22"/>
        </w:rPr>
        <w:t xml:space="preserve">odhad </w:t>
      </w:r>
      <w:r>
        <w:rPr>
          <w:rFonts w:asciiTheme="minorHAnsi" w:hAnsiTheme="minorHAnsi"/>
          <w:sz w:val="22"/>
        </w:rPr>
        <w:t xml:space="preserve">potenciálu úspor energie s vyčíslením odhadu úspor energie a odhad </w:t>
      </w:r>
      <w:r w:rsidRPr="008D201B">
        <w:rPr>
          <w:rFonts w:asciiTheme="minorHAnsi" w:hAnsiTheme="minorHAnsi"/>
          <w:sz w:val="22"/>
        </w:rPr>
        <w:t xml:space="preserve">snížení provozních nákladů souvisejících se spotřebou energie, kterého </w:t>
      </w:r>
      <w:r>
        <w:rPr>
          <w:rFonts w:asciiTheme="minorHAnsi" w:hAnsiTheme="minorHAnsi"/>
          <w:sz w:val="22"/>
        </w:rPr>
        <w:t xml:space="preserve">by mělo být </w:t>
      </w:r>
      <w:r w:rsidRPr="008D201B">
        <w:rPr>
          <w:rFonts w:asciiTheme="minorHAnsi" w:hAnsiTheme="minorHAnsi"/>
          <w:sz w:val="22"/>
        </w:rPr>
        <w:t>dosaženo</w:t>
      </w:r>
      <w:r>
        <w:rPr>
          <w:rFonts w:asciiTheme="minorHAnsi" w:hAnsiTheme="minorHAnsi"/>
          <w:sz w:val="22"/>
        </w:rPr>
        <w:t>,</w:t>
      </w:r>
    </w:p>
    <w:p w14:paraId="2DD489D4" w14:textId="5ABE5151" w:rsidR="00E37588" w:rsidRDefault="00E37588" w:rsidP="00111804">
      <w:pPr>
        <w:pStyle w:val="Odstavecseseznamem"/>
        <w:widowControl/>
        <w:numPr>
          <w:ilvl w:val="0"/>
          <w:numId w:val="27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doporučení, které z analyzovaných objektů jsou vhodné pro uplatnění metody EPC, včetně uvedení důvodu vhodnosti (lze zpracovat i ve variantách řešení s případným využitím dotačních prostředků).</w:t>
      </w:r>
    </w:p>
    <w:p w14:paraId="524263D2" w14:textId="77777777" w:rsidR="00733AC4" w:rsidRDefault="00733AC4" w:rsidP="00733AC4">
      <w:pPr>
        <w:pStyle w:val="Odstavecseseznamem"/>
        <w:widowControl/>
        <w:adjustRightInd/>
        <w:spacing w:after="60"/>
        <w:ind w:left="714"/>
        <w:contextualSpacing w:val="0"/>
        <w:jc w:val="left"/>
        <w:textAlignment w:val="auto"/>
        <w:rPr>
          <w:rFonts w:asciiTheme="minorHAnsi" w:hAnsiTheme="minorHAnsi"/>
          <w:sz w:val="22"/>
        </w:rPr>
      </w:pPr>
    </w:p>
    <w:p w14:paraId="631DFEE0" w14:textId="2BA3DD04" w:rsidR="00733AC4" w:rsidRDefault="00733AC4" w:rsidP="00733AC4">
      <w:pPr>
        <w:pStyle w:val="Nadpis1"/>
        <w:numPr>
          <w:ilvl w:val="0"/>
          <w:numId w:val="37"/>
        </w:numPr>
        <w:rPr>
          <w:rFonts w:asciiTheme="minorHAnsi" w:hAnsiTheme="minorHAnsi"/>
        </w:rPr>
      </w:pPr>
      <w:bookmarkStart w:id="12" w:name="_Toc105499531"/>
      <w:r>
        <w:rPr>
          <w:rFonts w:asciiTheme="minorHAnsi" w:hAnsiTheme="minorHAnsi"/>
        </w:rPr>
        <w:t>Ukončení realizace projektu</w:t>
      </w:r>
      <w:bookmarkEnd w:id="12"/>
    </w:p>
    <w:p w14:paraId="4862A1EB" w14:textId="77777777" w:rsidR="00733AC4" w:rsidRPr="00733AC4" w:rsidRDefault="00733AC4" w:rsidP="00733AC4"/>
    <w:p w14:paraId="1D1A57CB" w14:textId="7FE6565E" w:rsidR="0026232D" w:rsidRDefault="00733AC4" w:rsidP="0026232D"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Ukončení realizace projektu bude provedeno předložením finančního </w:t>
      </w:r>
      <w:r w:rsidR="00651B7E">
        <w:rPr>
          <w:rFonts w:asciiTheme="minorHAnsi" w:hAnsiTheme="minorHAnsi"/>
          <w:sz w:val="22"/>
        </w:rPr>
        <w:t>vyúčtování, vlastní analýzy</w:t>
      </w:r>
      <w:r w:rsidR="0026232D">
        <w:rPr>
          <w:rFonts w:asciiTheme="minorHAnsi" w:hAnsiTheme="minorHAnsi"/>
          <w:sz w:val="22"/>
        </w:rPr>
        <w:t xml:space="preserve"> a dalších položek, které jsou specifikovány v Podmínkách čerpání neinvestiční dotace. </w:t>
      </w:r>
      <w:r w:rsidR="0026232D" w:rsidRPr="0026232D">
        <w:rPr>
          <w:rFonts w:asciiTheme="minorHAnsi" w:hAnsiTheme="minorHAnsi"/>
          <w:sz w:val="22"/>
        </w:rPr>
        <w:t>Pokud analýza neprokáže vhodnost realizace metody EPC</w:t>
      </w:r>
      <w:r w:rsidR="0026232D">
        <w:rPr>
          <w:rFonts w:asciiTheme="minorHAnsi" w:hAnsiTheme="minorHAnsi"/>
          <w:sz w:val="22"/>
        </w:rPr>
        <w:t xml:space="preserve"> je nutné o </w:t>
      </w:r>
      <w:r w:rsidR="0026232D" w:rsidRPr="0026232D">
        <w:rPr>
          <w:rFonts w:asciiTheme="minorHAnsi" w:hAnsiTheme="minorHAnsi"/>
          <w:sz w:val="22"/>
        </w:rPr>
        <w:t>této skutečnosti</w:t>
      </w:r>
      <w:r w:rsidR="0026232D">
        <w:rPr>
          <w:rFonts w:asciiTheme="minorHAnsi" w:hAnsiTheme="minorHAnsi"/>
          <w:sz w:val="22"/>
        </w:rPr>
        <w:t xml:space="preserve"> informovat Ministerstvo průmyslu a o</w:t>
      </w:r>
      <w:r w:rsidR="00D328A7">
        <w:rPr>
          <w:rFonts w:asciiTheme="minorHAnsi" w:hAnsiTheme="minorHAnsi"/>
          <w:sz w:val="22"/>
        </w:rPr>
        <w:t>b</w:t>
      </w:r>
      <w:r w:rsidR="0026232D">
        <w:rPr>
          <w:rFonts w:asciiTheme="minorHAnsi" w:hAnsiTheme="minorHAnsi"/>
          <w:sz w:val="22"/>
        </w:rPr>
        <w:t>chodu.</w:t>
      </w:r>
      <w:r w:rsidR="0026232D" w:rsidRPr="0026232D">
        <w:rPr>
          <w:rFonts w:asciiTheme="minorHAnsi" w:hAnsiTheme="minorHAnsi"/>
          <w:sz w:val="22"/>
        </w:rPr>
        <w:t xml:space="preserve"> V</w:t>
      </w:r>
      <w:r w:rsidR="0026232D">
        <w:rPr>
          <w:rFonts w:asciiTheme="minorHAnsi" w:hAnsiTheme="minorHAnsi"/>
          <w:sz w:val="22"/>
        </w:rPr>
        <w:t xml:space="preserve"> takovém případě </w:t>
      </w:r>
      <w:r w:rsidR="0026232D" w:rsidRPr="0026232D">
        <w:rPr>
          <w:rFonts w:asciiTheme="minorHAnsi" w:hAnsiTheme="minorHAnsi"/>
          <w:sz w:val="22"/>
        </w:rPr>
        <w:t xml:space="preserve">nemusí příjemce </w:t>
      </w:r>
      <w:r w:rsidR="0026232D">
        <w:rPr>
          <w:rFonts w:asciiTheme="minorHAnsi" w:hAnsiTheme="minorHAnsi"/>
          <w:sz w:val="22"/>
        </w:rPr>
        <w:t xml:space="preserve">dotace </w:t>
      </w:r>
      <w:r w:rsidR="0026232D" w:rsidRPr="0026232D">
        <w:rPr>
          <w:rFonts w:asciiTheme="minorHAnsi" w:hAnsiTheme="minorHAnsi"/>
          <w:sz w:val="22"/>
        </w:rPr>
        <w:t>vracet dotaci zpět.</w:t>
      </w:r>
    </w:p>
    <w:p w14:paraId="671AF022" w14:textId="1395B845" w:rsidR="00E143DA" w:rsidRDefault="00E143DA" w:rsidP="0026232D">
      <w:pPr>
        <w:spacing w:after="120"/>
        <w:rPr>
          <w:rFonts w:asciiTheme="minorHAnsi" w:hAnsiTheme="minorHAnsi"/>
          <w:sz w:val="22"/>
        </w:rPr>
      </w:pPr>
      <w:r w:rsidRPr="00E143DA">
        <w:rPr>
          <w:rFonts w:asciiTheme="minorHAnsi" w:hAnsiTheme="minorHAnsi"/>
          <w:sz w:val="22"/>
        </w:rPr>
        <w:t>V případě, že analýza sice prokáže vhodnost realizace metody EPC, ovšem pro příjemce dotace bude realizace metody EPC ekonomicky nevýhodná, bude o této skutečnosti neprodleně informovat poskytovatele. S</w:t>
      </w:r>
      <w:r>
        <w:rPr>
          <w:rFonts w:asciiTheme="minorHAnsi" w:hAnsiTheme="minorHAnsi"/>
          <w:sz w:val="22"/>
        </w:rPr>
        <w:t> </w:t>
      </w:r>
      <w:r w:rsidRPr="00E143DA">
        <w:rPr>
          <w:rFonts w:asciiTheme="minorHAnsi" w:hAnsiTheme="minorHAnsi"/>
          <w:sz w:val="22"/>
        </w:rPr>
        <w:t>informací</w:t>
      </w:r>
      <w:r>
        <w:rPr>
          <w:rFonts w:asciiTheme="minorHAnsi" w:hAnsiTheme="minorHAnsi"/>
          <w:sz w:val="22"/>
        </w:rPr>
        <w:t xml:space="preserve"> je nutné zaslat</w:t>
      </w:r>
      <w:r w:rsidRPr="00E143DA">
        <w:rPr>
          <w:rFonts w:asciiTheme="minorHAnsi" w:hAnsiTheme="minorHAnsi"/>
          <w:sz w:val="22"/>
        </w:rPr>
        <w:t xml:space="preserve"> vysvětlení, proč je pro něj pokračování realizace projektu nevýhodné</w:t>
      </w:r>
      <w:r>
        <w:rPr>
          <w:rFonts w:asciiTheme="minorHAnsi" w:hAnsiTheme="minorHAnsi"/>
          <w:sz w:val="22"/>
        </w:rPr>
        <w:t>.</w:t>
      </w:r>
      <w:r w:rsidRPr="00E143DA">
        <w:rPr>
          <w:rFonts w:asciiTheme="minorHAnsi" w:hAnsiTheme="minorHAnsi"/>
          <w:sz w:val="22"/>
        </w:rPr>
        <w:t xml:space="preserve"> Dále je na posouzení poskytovatele dotace, jestli bude požadovat vrácení dotace zpět či nikoliv.</w:t>
      </w:r>
    </w:p>
    <w:p w14:paraId="71CAF32C" w14:textId="77777777" w:rsidR="00104F07" w:rsidRPr="0026232D" w:rsidRDefault="00104F07" w:rsidP="0026232D">
      <w:pPr>
        <w:spacing w:after="120"/>
        <w:rPr>
          <w:rFonts w:asciiTheme="minorHAnsi" w:hAnsiTheme="minorHAnsi"/>
          <w:sz w:val="22"/>
        </w:rPr>
      </w:pPr>
    </w:p>
    <w:p w14:paraId="2A2400E3" w14:textId="0677F319" w:rsidR="001C2624" w:rsidRDefault="001C2624" w:rsidP="00114578">
      <w:pPr>
        <w:pStyle w:val="Nadpis1"/>
        <w:numPr>
          <w:ilvl w:val="0"/>
          <w:numId w:val="37"/>
        </w:numPr>
        <w:rPr>
          <w:rFonts w:asciiTheme="minorHAnsi" w:hAnsiTheme="minorHAnsi"/>
        </w:rPr>
      </w:pPr>
      <w:bookmarkStart w:id="13" w:name="_Toc468190988"/>
      <w:bookmarkStart w:id="14" w:name="_Toc105499532"/>
      <w:bookmarkEnd w:id="9"/>
      <w:bookmarkEnd w:id="10"/>
      <w:r w:rsidRPr="00A72EF7">
        <w:rPr>
          <w:rFonts w:asciiTheme="minorHAnsi" w:hAnsiTheme="minorHAnsi"/>
        </w:rPr>
        <w:t>P</w:t>
      </w:r>
      <w:r w:rsidR="007C1C0A">
        <w:rPr>
          <w:rFonts w:asciiTheme="minorHAnsi" w:hAnsiTheme="minorHAnsi"/>
        </w:rPr>
        <w:t>ovinné</w:t>
      </w:r>
      <w:r w:rsidRPr="00A72EF7">
        <w:rPr>
          <w:rFonts w:asciiTheme="minorHAnsi" w:hAnsiTheme="minorHAnsi"/>
        </w:rPr>
        <w:t xml:space="preserve"> příloh</w:t>
      </w:r>
      <w:r w:rsidR="007C1C0A">
        <w:rPr>
          <w:rFonts w:asciiTheme="minorHAnsi" w:hAnsiTheme="minorHAnsi"/>
        </w:rPr>
        <w:t>y</w:t>
      </w:r>
      <w:r w:rsidRPr="00A72EF7">
        <w:rPr>
          <w:rFonts w:asciiTheme="minorHAnsi" w:hAnsiTheme="minorHAnsi"/>
        </w:rPr>
        <w:t xml:space="preserve"> </w:t>
      </w:r>
      <w:r w:rsidR="007C1C0A">
        <w:rPr>
          <w:rFonts w:asciiTheme="minorHAnsi" w:hAnsiTheme="minorHAnsi"/>
        </w:rPr>
        <w:t xml:space="preserve">k </w:t>
      </w:r>
      <w:r w:rsidRPr="00A72EF7">
        <w:rPr>
          <w:rFonts w:asciiTheme="minorHAnsi" w:hAnsiTheme="minorHAnsi"/>
        </w:rPr>
        <w:t>žádosti o dotaci</w:t>
      </w:r>
      <w:bookmarkEnd w:id="13"/>
      <w:bookmarkEnd w:id="14"/>
    </w:p>
    <w:p w14:paraId="42B5C8EB" w14:textId="77777777" w:rsidR="00104F07" w:rsidRPr="00104F07" w:rsidRDefault="00104F07" w:rsidP="00104F07"/>
    <w:p w14:paraId="1A098B81" w14:textId="57FFEB28" w:rsidR="001C2624" w:rsidRDefault="001C2624" w:rsidP="00CB0152">
      <w:pPr>
        <w:spacing w:after="120"/>
        <w:rPr>
          <w:rFonts w:asciiTheme="minorHAnsi" w:hAnsiTheme="minorHAnsi"/>
          <w:sz w:val="22"/>
        </w:rPr>
      </w:pPr>
      <w:r w:rsidRPr="00A72EF7">
        <w:rPr>
          <w:rFonts w:asciiTheme="minorHAnsi" w:hAnsiTheme="minorHAnsi"/>
          <w:sz w:val="22"/>
        </w:rPr>
        <w:t xml:space="preserve">K podané žádosti o </w:t>
      </w:r>
      <w:r w:rsidR="00BE2A85">
        <w:rPr>
          <w:rFonts w:asciiTheme="minorHAnsi" w:hAnsiTheme="minorHAnsi"/>
          <w:sz w:val="22"/>
        </w:rPr>
        <w:t>dotaci</w:t>
      </w:r>
      <w:r w:rsidRPr="00A72EF7">
        <w:rPr>
          <w:rFonts w:asciiTheme="minorHAnsi" w:hAnsiTheme="minorHAnsi"/>
          <w:sz w:val="22"/>
        </w:rPr>
        <w:t xml:space="preserve"> se vyžaduje doložení </w:t>
      </w:r>
      <w:r w:rsidR="00CB0152">
        <w:rPr>
          <w:rFonts w:asciiTheme="minorHAnsi" w:hAnsiTheme="minorHAnsi"/>
          <w:sz w:val="22"/>
        </w:rPr>
        <w:t xml:space="preserve">příloh, z nichž </w:t>
      </w:r>
      <w:r w:rsidR="007C1C0A">
        <w:rPr>
          <w:rFonts w:asciiTheme="minorHAnsi" w:hAnsiTheme="minorHAnsi"/>
          <w:sz w:val="22"/>
        </w:rPr>
        <w:t>podstatnou je technická</w:t>
      </w:r>
      <w:r w:rsidR="00CB0152">
        <w:rPr>
          <w:rFonts w:asciiTheme="minorHAnsi" w:hAnsiTheme="minorHAnsi"/>
          <w:sz w:val="22"/>
        </w:rPr>
        <w:t xml:space="preserve"> příloh</w:t>
      </w:r>
      <w:r w:rsidR="007C1C0A">
        <w:rPr>
          <w:rFonts w:asciiTheme="minorHAnsi" w:hAnsiTheme="minorHAnsi"/>
          <w:sz w:val="22"/>
        </w:rPr>
        <w:t>a s názvem:</w:t>
      </w:r>
      <w:r w:rsidR="007C1C0A" w:rsidRPr="00CA3CE4">
        <w:rPr>
          <w:rFonts w:asciiTheme="minorHAnsi" w:hAnsiTheme="minorHAnsi"/>
          <w:b/>
          <w:sz w:val="22"/>
        </w:rPr>
        <w:t xml:space="preserve"> </w:t>
      </w:r>
      <w:r w:rsidR="00B028E6" w:rsidRPr="00CA3CE4">
        <w:rPr>
          <w:rFonts w:asciiTheme="minorHAnsi" w:hAnsiTheme="minorHAnsi"/>
          <w:b/>
          <w:sz w:val="22"/>
        </w:rPr>
        <w:t>Podrobná osnova, harmonogram a popis realizace akce a kalkulace nákladů realizace akce</w:t>
      </w:r>
      <w:r w:rsidR="00B028E6">
        <w:rPr>
          <w:rFonts w:asciiTheme="minorHAnsi" w:hAnsiTheme="minorHAnsi"/>
          <w:sz w:val="22"/>
        </w:rPr>
        <w:t>.</w:t>
      </w:r>
      <w:r w:rsidR="00B028E6" w:rsidRPr="00B028E6">
        <w:rPr>
          <w:rFonts w:asciiTheme="minorHAnsi" w:hAnsiTheme="minorHAnsi"/>
          <w:sz w:val="22"/>
        </w:rPr>
        <w:t xml:space="preserve"> </w:t>
      </w:r>
      <w:r w:rsidR="007C1C0A">
        <w:rPr>
          <w:rFonts w:asciiTheme="minorHAnsi" w:hAnsiTheme="minorHAnsi"/>
          <w:sz w:val="22"/>
        </w:rPr>
        <w:t>V požadované technické příloze je nutné k žádosti předložit následující informace</w:t>
      </w:r>
      <w:r w:rsidRPr="00A72EF7">
        <w:rPr>
          <w:rFonts w:asciiTheme="minorHAnsi" w:hAnsiTheme="minorHAnsi"/>
          <w:sz w:val="22"/>
        </w:rPr>
        <w:t>:</w:t>
      </w:r>
    </w:p>
    <w:p w14:paraId="7B398311" w14:textId="4BD4A83B" w:rsidR="007C1C0A" w:rsidRDefault="007C1C0A" w:rsidP="002F47A6">
      <w:pPr>
        <w:pStyle w:val="Odstavecseseznamem"/>
        <w:widowControl/>
        <w:numPr>
          <w:ilvl w:val="0"/>
          <w:numId w:val="29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 w:rsidRPr="00272037">
        <w:rPr>
          <w:rFonts w:asciiTheme="minorHAnsi" w:hAnsiTheme="minorHAnsi"/>
          <w:sz w:val="22"/>
        </w:rPr>
        <w:t xml:space="preserve">seznam objektů </w:t>
      </w:r>
      <w:r>
        <w:rPr>
          <w:rFonts w:asciiTheme="minorHAnsi" w:hAnsiTheme="minorHAnsi"/>
          <w:sz w:val="22"/>
        </w:rPr>
        <w:t>zařazených do analýzy</w:t>
      </w:r>
      <w:r w:rsidR="00D328A7">
        <w:rPr>
          <w:rFonts w:asciiTheme="minorHAnsi" w:hAnsiTheme="minorHAnsi"/>
          <w:sz w:val="22"/>
        </w:rPr>
        <w:t>, včetně</w:t>
      </w:r>
      <w:r>
        <w:rPr>
          <w:rFonts w:asciiTheme="minorHAnsi" w:hAnsiTheme="minorHAnsi"/>
          <w:sz w:val="22"/>
        </w:rPr>
        <w:t> </w:t>
      </w:r>
      <w:r w:rsidRPr="00272037">
        <w:rPr>
          <w:rFonts w:asciiTheme="minorHAnsi" w:hAnsiTheme="minorHAnsi"/>
          <w:sz w:val="22"/>
        </w:rPr>
        <w:t>adres</w:t>
      </w:r>
      <w:r>
        <w:rPr>
          <w:rFonts w:asciiTheme="minorHAnsi" w:hAnsiTheme="minorHAnsi"/>
          <w:sz w:val="22"/>
        </w:rPr>
        <w:t>,</w:t>
      </w:r>
    </w:p>
    <w:p w14:paraId="68660DA6" w14:textId="3846AB09" w:rsidR="007C1C0A" w:rsidRPr="007C1C0A" w:rsidRDefault="007C1C0A" w:rsidP="002F47A6">
      <w:pPr>
        <w:pStyle w:val="Odstavecseseznamem"/>
        <w:widowControl/>
        <w:numPr>
          <w:ilvl w:val="0"/>
          <w:numId w:val="29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ú</w:t>
      </w:r>
      <w:r w:rsidRPr="007C1C0A">
        <w:rPr>
          <w:rFonts w:asciiTheme="minorHAnsi" w:hAnsiTheme="minorHAnsi"/>
          <w:sz w:val="22"/>
        </w:rPr>
        <w:t>daje o spotřebě a provozních nákladech jednotlivých objektů</w:t>
      </w:r>
      <w:r>
        <w:rPr>
          <w:rFonts w:asciiTheme="minorHAnsi" w:hAnsiTheme="minorHAnsi"/>
          <w:sz w:val="22"/>
        </w:rPr>
        <w:t>,</w:t>
      </w:r>
    </w:p>
    <w:p w14:paraId="2E26777E" w14:textId="0A1C5CAD" w:rsidR="007C1C0A" w:rsidRPr="007C1C0A" w:rsidRDefault="007C1C0A" w:rsidP="002F47A6">
      <w:pPr>
        <w:pStyle w:val="Odstavecseseznamem"/>
        <w:widowControl/>
        <w:numPr>
          <w:ilvl w:val="0"/>
          <w:numId w:val="29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ú</w:t>
      </w:r>
      <w:r w:rsidRPr="007C1C0A">
        <w:rPr>
          <w:rFonts w:asciiTheme="minorHAnsi" w:hAnsiTheme="minorHAnsi"/>
          <w:sz w:val="22"/>
        </w:rPr>
        <w:t>daje o rozloze vytápěné celkové podlahové plochy a o počtu podlaží jednotlivých objektů</w:t>
      </w:r>
      <w:r>
        <w:rPr>
          <w:rFonts w:asciiTheme="minorHAnsi" w:hAnsiTheme="minorHAnsi"/>
          <w:sz w:val="22"/>
        </w:rPr>
        <w:t>,</w:t>
      </w:r>
    </w:p>
    <w:p w14:paraId="14C2DC9E" w14:textId="77777777" w:rsidR="007C1C0A" w:rsidRPr="007C1C0A" w:rsidRDefault="007C1C0A" w:rsidP="002F47A6">
      <w:pPr>
        <w:pStyle w:val="Odstavecseseznamem"/>
        <w:widowControl/>
        <w:numPr>
          <w:ilvl w:val="0"/>
          <w:numId w:val="29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Pr="007C1C0A">
        <w:rPr>
          <w:rFonts w:asciiTheme="minorHAnsi" w:hAnsiTheme="minorHAnsi"/>
          <w:sz w:val="22"/>
        </w:rPr>
        <w:t>ávrh časového harmonogramu přípravy a realizace projektu</w:t>
      </w:r>
      <w:r>
        <w:rPr>
          <w:rFonts w:asciiTheme="minorHAnsi" w:hAnsiTheme="minorHAnsi"/>
          <w:sz w:val="22"/>
        </w:rPr>
        <w:t>,</w:t>
      </w:r>
    </w:p>
    <w:p w14:paraId="12964396" w14:textId="77777777" w:rsidR="007C1C0A" w:rsidRPr="00272037" w:rsidRDefault="007C1C0A" w:rsidP="002F47A6">
      <w:pPr>
        <w:pStyle w:val="Odstavecseseznamem"/>
        <w:widowControl/>
        <w:numPr>
          <w:ilvl w:val="0"/>
          <w:numId w:val="29"/>
        </w:numPr>
        <w:adjustRightInd/>
        <w:spacing w:after="60"/>
        <w:ind w:left="714" w:hanging="357"/>
        <w:contextualSpacing w:val="0"/>
        <w:jc w:val="left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</w:t>
      </w:r>
      <w:r w:rsidRPr="007C1C0A">
        <w:rPr>
          <w:rFonts w:asciiTheme="minorHAnsi" w:hAnsiTheme="minorHAnsi"/>
          <w:sz w:val="22"/>
        </w:rPr>
        <w:t>alkulace výdajů na zpracování analýzy</w:t>
      </w:r>
      <w:r>
        <w:rPr>
          <w:rFonts w:asciiTheme="minorHAnsi" w:hAnsiTheme="minorHAnsi"/>
          <w:sz w:val="22"/>
        </w:rPr>
        <w:t>.</w:t>
      </w:r>
    </w:p>
    <w:p w14:paraId="29AB8F16" w14:textId="77777777" w:rsidR="007C1C0A" w:rsidRDefault="007C1C0A" w:rsidP="001C2624">
      <w:pPr>
        <w:rPr>
          <w:rFonts w:asciiTheme="minorHAnsi" w:hAnsiTheme="minorHAnsi"/>
          <w:sz w:val="22"/>
        </w:rPr>
      </w:pPr>
    </w:p>
    <w:p w14:paraId="359CFE4F" w14:textId="5A53263A" w:rsidR="001C2624" w:rsidRPr="00A72EF7" w:rsidRDefault="001C2624" w:rsidP="001C2624">
      <w:pPr>
        <w:rPr>
          <w:rFonts w:asciiTheme="minorHAnsi" w:hAnsiTheme="minorHAnsi"/>
          <w:sz w:val="22"/>
        </w:rPr>
      </w:pPr>
      <w:r w:rsidRPr="00A72EF7">
        <w:rPr>
          <w:rFonts w:asciiTheme="minorHAnsi" w:hAnsiTheme="minorHAnsi"/>
          <w:sz w:val="22"/>
        </w:rPr>
        <w:t xml:space="preserve">Dále se přikládají přílohy netechnického charakteru (administrativní povahy), jež jsou specifikovány </w:t>
      </w:r>
      <w:r w:rsidR="00BE2A85">
        <w:rPr>
          <w:rFonts w:asciiTheme="minorHAnsi" w:hAnsiTheme="minorHAnsi"/>
          <w:sz w:val="22"/>
        </w:rPr>
        <w:t>ve výzvě</w:t>
      </w:r>
      <w:r w:rsidR="00272037">
        <w:rPr>
          <w:rFonts w:asciiTheme="minorHAnsi" w:hAnsiTheme="minorHAnsi"/>
          <w:sz w:val="22"/>
        </w:rPr>
        <w:t xml:space="preserve"> k podání žádosti o dotaci</w:t>
      </w:r>
      <w:r w:rsidRPr="00A72EF7">
        <w:rPr>
          <w:rFonts w:asciiTheme="minorHAnsi" w:hAnsiTheme="minorHAnsi"/>
          <w:sz w:val="22"/>
        </w:rPr>
        <w:t>.</w:t>
      </w:r>
    </w:p>
    <w:p w14:paraId="62D4E2D5" w14:textId="77777777" w:rsidR="007C1C0A" w:rsidRDefault="007C1C0A" w:rsidP="001C2624">
      <w:pPr>
        <w:rPr>
          <w:rFonts w:asciiTheme="minorHAnsi" w:hAnsiTheme="minorHAnsi"/>
          <w:sz w:val="22"/>
        </w:rPr>
      </w:pPr>
    </w:p>
    <w:p w14:paraId="1C0EDFD2" w14:textId="77777777" w:rsidR="001C2624" w:rsidRPr="00A72EF7" w:rsidRDefault="001C2624" w:rsidP="001C2624">
      <w:pPr>
        <w:rPr>
          <w:rFonts w:asciiTheme="minorHAnsi" w:hAnsiTheme="minorHAnsi"/>
          <w:sz w:val="22"/>
        </w:rPr>
      </w:pPr>
      <w:r w:rsidRPr="00A72EF7">
        <w:rPr>
          <w:rFonts w:asciiTheme="minorHAnsi" w:hAnsiTheme="minorHAnsi"/>
          <w:sz w:val="22"/>
        </w:rPr>
        <w:t xml:space="preserve">U všech dokumentů </w:t>
      </w:r>
      <w:r w:rsidR="00BE2A85">
        <w:rPr>
          <w:rFonts w:asciiTheme="minorHAnsi" w:hAnsiTheme="minorHAnsi"/>
          <w:sz w:val="22"/>
        </w:rPr>
        <w:t xml:space="preserve">dodávaných k žádosti o dotaci </w:t>
      </w:r>
      <w:r w:rsidRPr="00A72EF7">
        <w:rPr>
          <w:rFonts w:asciiTheme="minorHAnsi" w:hAnsiTheme="minorHAnsi"/>
          <w:sz w:val="22"/>
        </w:rPr>
        <w:t>musí být splněna k datu podání žádosti</w:t>
      </w:r>
      <w:r w:rsidR="00BE2A85" w:rsidRPr="00BE2A85">
        <w:rPr>
          <w:rFonts w:asciiTheme="minorHAnsi" w:hAnsiTheme="minorHAnsi"/>
          <w:sz w:val="22"/>
        </w:rPr>
        <w:t xml:space="preserve"> </w:t>
      </w:r>
      <w:r w:rsidR="00BE2A85" w:rsidRPr="00A72EF7">
        <w:rPr>
          <w:rFonts w:asciiTheme="minorHAnsi" w:hAnsiTheme="minorHAnsi"/>
          <w:sz w:val="22"/>
        </w:rPr>
        <w:t>podmínka</w:t>
      </w:r>
      <w:r w:rsidR="00BE2A85">
        <w:rPr>
          <w:rFonts w:asciiTheme="minorHAnsi" w:hAnsiTheme="minorHAnsi"/>
          <w:sz w:val="22"/>
        </w:rPr>
        <w:t>, že dokumenty nesmí být starší tří měsíců před datem podání žádosti</w:t>
      </w:r>
      <w:r w:rsidRPr="00A72EF7">
        <w:rPr>
          <w:rFonts w:asciiTheme="minorHAnsi" w:hAnsiTheme="minorHAnsi"/>
          <w:sz w:val="22"/>
        </w:rPr>
        <w:t>.</w:t>
      </w:r>
    </w:p>
    <w:p w14:paraId="01AD37FC" w14:textId="77777777" w:rsidR="00BE2A85" w:rsidRDefault="00BE2A85" w:rsidP="00BE2A85">
      <w:pPr>
        <w:widowControl/>
        <w:adjustRightInd/>
        <w:spacing w:after="60" w:line="240" w:lineRule="auto"/>
        <w:jc w:val="left"/>
        <w:textAlignment w:val="auto"/>
        <w:rPr>
          <w:rFonts w:asciiTheme="minorHAnsi" w:hAnsiTheme="minorHAnsi"/>
          <w:sz w:val="22"/>
        </w:rPr>
      </w:pPr>
    </w:p>
    <w:p w14:paraId="6D4976F7" w14:textId="77777777" w:rsidR="00BE2A85" w:rsidRDefault="00BE2A85" w:rsidP="00BE2A85">
      <w:pPr>
        <w:widowControl/>
        <w:pBdr>
          <w:bottom w:val="single" w:sz="4" w:space="1" w:color="auto"/>
        </w:pBdr>
        <w:adjustRightInd/>
        <w:spacing w:after="60" w:line="240" w:lineRule="auto"/>
        <w:jc w:val="left"/>
        <w:textAlignment w:val="auto"/>
        <w:rPr>
          <w:rFonts w:asciiTheme="minorHAnsi" w:hAnsiTheme="minorHAnsi"/>
          <w:sz w:val="22"/>
        </w:rPr>
      </w:pPr>
    </w:p>
    <w:p w14:paraId="3665D952" w14:textId="77777777" w:rsidR="00BE2A85" w:rsidRDefault="00BE2A85" w:rsidP="00BE2A85">
      <w:pPr>
        <w:widowControl/>
        <w:adjustRightInd/>
        <w:spacing w:after="60" w:line="240" w:lineRule="auto"/>
        <w:jc w:val="left"/>
        <w:textAlignment w:val="auto"/>
        <w:rPr>
          <w:rFonts w:asciiTheme="minorHAnsi" w:hAnsiTheme="minorHAnsi"/>
          <w:sz w:val="22"/>
        </w:rPr>
      </w:pPr>
    </w:p>
    <w:p w14:paraId="79C52B44" w14:textId="77777777" w:rsidR="0066436C" w:rsidRDefault="0066436C" w:rsidP="007D5CCD">
      <w:pPr>
        <w:rPr>
          <w:rFonts w:asciiTheme="minorHAnsi" w:hAnsiTheme="minorHAnsi"/>
          <w:sz w:val="22"/>
        </w:rPr>
      </w:pPr>
    </w:p>
    <w:p w14:paraId="1C19BC6D" w14:textId="77777777" w:rsidR="001C5344" w:rsidRDefault="001C5344" w:rsidP="007D5CC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Znění programu i aktuální výzvu je možné nalézt na stránkách </w:t>
      </w:r>
      <w:hyperlink r:id="rId15" w:history="1">
        <w:r w:rsidRPr="00AF10C2">
          <w:rPr>
            <w:rStyle w:val="Hypertextovodkaz"/>
            <w:rFonts w:asciiTheme="minorHAnsi" w:hAnsiTheme="minorHAnsi"/>
            <w:sz w:val="22"/>
          </w:rPr>
          <w:t>www.mpo-efekt.cz</w:t>
        </w:r>
      </w:hyperlink>
      <w:r>
        <w:rPr>
          <w:rFonts w:asciiTheme="minorHAnsi" w:hAnsiTheme="minorHAnsi"/>
          <w:sz w:val="22"/>
        </w:rPr>
        <w:t xml:space="preserve">. </w:t>
      </w:r>
    </w:p>
    <w:p w14:paraId="225E6AA8" w14:textId="36E63E67" w:rsidR="00E143DA" w:rsidRDefault="00E143DA">
      <w:pPr>
        <w:widowControl/>
        <w:adjustRightInd/>
        <w:spacing w:after="200" w:line="276" w:lineRule="auto"/>
        <w:jc w:val="left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39F4BABA" w14:textId="77777777" w:rsidR="007C1C0A" w:rsidRDefault="007C1C0A" w:rsidP="007D5CCD">
      <w:pPr>
        <w:rPr>
          <w:rFonts w:asciiTheme="minorHAnsi" w:hAnsiTheme="minorHAnsi"/>
          <w:sz w:val="22"/>
        </w:rPr>
      </w:pPr>
    </w:p>
    <w:p w14:paraId="6F90236C" w14:textId="77777777" w:rsidR="00552920" w:rsidRPr="00A72EF7" w:rsidRDefault="002F21CD" w:rsidP="00552920">
      <w:pPr>
        <w:spacing w:after="240" w:line="24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hyperlink r:id="rId16" w:history="1">
        <w:r w:rsidR="00552920" w:rsidRPr="00A72EF7">
          <w:rPr>
            <w:rStyle w:val="Hypertextovodkaz"/>
            <w:rFonts w:asciiTheme="minorHAnsi" w:hAnsiTheme="minorHAnsi" w:cstheme="minorHAnsi"/>
            <w:sz w:val="28"/>
            <w:szCs w:val="22"/>
          </w:rPr>
          <w:t>www.mpo-efekt.cz</w:t>
        </w:r>
      </w:hyperlink>
    </w:p>
    <w:p w14:paraId="07ABE71D" w14:textId="77777777" w:rsidR="00552920" w:rsidRPr="00A72EF7" w:rsidRDefault="00552920" w:rsidP="00552920">
      <w:pPr>
        <w:spacing w:after="24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CE0731" w14:textId="77777777" w:rsidR="00552920" w:rsidRPr="00A72EF7" w:rsidRDefault="00552920" w:rsidP="00552920">
      <w:pPr>
        <w:spacing w:after="24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EF7">
        <w:rPr>
          <w:rFonts w:asciiTheme="minorHAnsi" w:hAnsiTheme="minorHAnsi" w:cstheme="minorHAnsi"/>
          <w:b/>
          <w:sz w:val="22"/>
          <w:szCs w:val="22"/>
        </w:rPr>
        <w:t>INFORMAČNÍ PORTÁL</w:t>
      </w:r>
    </w:p>
    <w:p w14:paraId="42F6E3D4" w14:textId="77777777" w:rsidR="00552920" w:rsidRPr="00A72EF7" w:rsidRDefault="00552920" w:rsidP="00552920">
      <w:pPr>
        <w:spacing w:after="24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EF7">
        <w:rPr>
          <w:rFonts w:asciiTheme="minorHAnsi" w:hAnsiTheme="minorHAnsi" w:cstheme="minorHAnsi"/>
          <w:b/>
          <w:sz w:val="22"/>
          <w:szCs w:val="22"/>
        </w:rPr>
        <w:t>MINISTERSTVA PRŮMYSLU A OBCHODU ČR</w:t>
      </w:r>
    </w:p>
    <w:p w14:paraId="148F0D9E" w14:textId="77777777" w:rsidR="00552920" w:rsidRPr="00A72EF7" w:rsidRDefault="00552920" w:rsidP="00552920">
      <w:pPr>
        <w:spacing w:after="24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0A1275" w14:textId="77777777" w:rsidR="00552920" w:rsidRPr="00A72EF7" w:rsidRDefault="00552920" w:rsidP="00552920">
      <w:pPr>
        <w:spacing w:after="24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EF7">
        <w:rPr>
          <w:rFonts w:asciiTheme="minorHAnsi" w:hAnsiTheme="minorHAnsi" w:cstheme="minorHAnsi"/>
          <w:b/>
          <w:sz w:val="22"/>
          <w:szCs w:val="22"/>
        </w:rPr>
        <w:t>o podpoře energetických úspor</w:t>
      </w:r>
    </w:p>
    <w:p w14:paraId="5072E4D9" w14:textId="77777777" w:rsidR="00552920" w:rsidRPr="00A72EF7" w:rsidRDefault="00552920" w:rsidP="00552920">
      <w:pPr>
        <w:spacing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2C24A92" w14:textId="77777777" w:rsidR="00552920" w:rsidRPr="00A72EF7" w:rsidRDefault="00552920" w:rsidP="00552920">
      <w:pPr>
        <w:spacing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52B3B8E7" w14:textId="77777777" w:rsidR="00552920" w:rsidRPr="00A72EF7" w:rsidRDefault="003A4C7F" w:rsidP="00552920">
      <w:pPr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4036128B" wp14:editId="7572473E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2444400" cy="1706400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ekt-logo_v369px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4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9450B" w14:textId="77777777" w:rsidR="00552920" w:rsidRPr="00A72EF7" w:rsidRDefault="00552920" w:rsidP="00552920">
      <w:pPr>
        <w:spacing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B6A89A4" w14:textId="77777777" w:rsidR="000C5B74" w:rsidRPr="00A72EF7" w:rsidRDefault="000C5B74" w:rsidP="001C2624">
      <w:pPr>
        <w:rPr>
          <w:rFonts w:asciiTheme="minorHAnsi" w:hAnsiTheme="minorHAnsi"/>
          <w:noProof/>
        </w:rPr>
      </w:pPr>
    </w:p>
    <w:p w14:paraId="712F3FD4" w14:textId="77777777" w:rsidR="000C5B74" w:rsidRPr="00A72EF7" w:rsidRDefault="000C5B74" w:rsidP="001C2624">
      <w:pPr>
        <w:rPr>
          <w:rFonts w:asciiTheme="minorHAnsi" w:hAnsiTheme="minorHAnsi"/>
          <w:noProof/>
        </w:rPr>
      </w:pPr>
    </w:p>
    <w:p w14:paraId="3CB08D8B" w14:textId="77777777" w:rsidR="000C5B74" w:rsidRPr="00A72EF7" w:rsidRDefault="000C5B74" w:rsidP="001C2624">
      <w:pPr>
        <w:rPr>
          <w:rFonts w:asciiTheme="minorHAnsi" w:hAnsiTheme="minorHAnsi"/>
          <w:noProof/>
        </w:rPr>
      </w:pPr>
    </w:p>
    <w:p w14:paraId="5C32EC21" w14:textId="77777777" w:rsidR="000C5B74" w:rsidRPr="00A72EF7" w:rsidRDefault="000C5B74" w:rsidP="001C2624">
      <w:pPr>
        <w:rPr>
          <w:rFonts w:asciiTheme="minorHAnsi" w:hAnsiTheme="minorHAnsi"/>
          <w:noProof/>
        </w:rPr>
      </w:pPr>
    </w:p>
    <w:p w14:paraId="289997A4" w14:textId="77777777" w:rsidR="000C5B74" w:rsidRPr="00A72EF7" w:rsidRDefault="000C5B74" w:rsidP="001C2624">
      <w:pPr>
        <w:rPr>
          <w:rFonts w:asciiTheme="minorHAnsi" w:hAnsiTheme="minorHAnsi"/>
          <w:noProof/>
        </w:rPr>
      </w:pPr>
    </w:p>
    <w:p w14:paraId="275B2667" w14:textId="77777777" w:rsidR="002159E5" w:rsidRPr="00A72EF7" w:rsidRDefault="002159E5" w:rsidP="001C2624">
      <w:pPr>
        <w:rPr>
          <w:rFonts w:asciiTheme="minorHAnsi" w:hAnsiTheme="minorHAnsi"/>
          <w:sz w:val="22"/>
        </w:rPr>
      </w:pPr>
    </w:p>
    <w:p w14:paraId="6EDCFD41" w14:textId="77777777" w:rsidR="000C5B74" w:rsidRPr="00A72EF7" w:rsidRDefault="000C5B74" w:rsidP="001C2624">
      <w:pPr>
        <w:rPr>
          <w:rFonts w:asciiTheme="minorHAnsi" w:hAnsiTheme="minorHAnsi"/>
          <w:sz w:val="22"/>
        </w:rPr>
      </w:pPr>
    </w:p>
    <w:p w14:paraId="2EEC9D87" w14:textId="77777777" w:rsidR="000C5B74" w:rsidRPr="00A72EF7" w:rsidRDefault="000C5B74" w:rsidP="001C2624">
      <w:pPr>
        <w:rPr>
          <w:rFonts w:asciiTheme="minorHAnsi" w:hAnsiTheme="minorHAnsi"/>
          <w:sz w:val="22"/>
        </w:rPr>
      </w:pPr>
    </w:p>
    <w:p w14:paraId="466401B5" w14:textId="77777777" w:rsidR="000C5B74" w:rsidRPr="00A72EF7" w:rsidRDefault="000C5B74" w:rsidP="001C2624">
      <w:pPr>
        <w:rPr>
          <w:rFonts w:asciiTheme="minorHAnsi" w:hAnsiTheme="minorHAnsi"/>
          <w:sz w:val="22"/>
        </w:rPr>
      </w:pPr>
    </w:p>
    <w:p w14:paraId="05A26967" w14:textId="77777777" w:rsidR="000C5B74" w:rsidRPr="00A72EF7" w:rsidRDefault="000C5B74" w:rsidP="001C2624">
      <w:pPr>
        <w:rPr>
          <w:rFonts w:asciiTheme="minorHAnsi" w:hAnsiTheme="minorHAnsi"/>
          <w:sz w:val="22"/>
        </w:rPr>
      </w:pPr>
    </w:p>
    <w:p w14:paraId="42B2566E" w14:textId="77777777" w:rsidR="000C5B74" w:rsidRPr="00A72EF7" w:rsidRDefault="000C5B74" w:rsidP="001C2624">
      <w:pPr>
        <w:rPr>
          <w:rFonts w:asciiTheme="minorHAnsi" w:hAnsiTheme="minorHAnsi"/>
          <w:sz w:val="22"/>
        </w:rPr>
      </w:pPr>
    </w:p>
    <w:sectPr w:rsidR="000C5B74" w:rsidRPr="00A72EF7" w:rsidSect="00CC5E40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167CE" w14:textId="77777777" w:rsidR="007545A6" w:rsidRDefault="007545A6" w:rsidP="00114578">
      <w:pPr>
        <w:spacing w:line="240" w:lineRule="auto"/>
      </w:pPr>
      <w:r>
        <w:separator/>
      </w:r>
    </w:p>
  </w:endnote>
  <w:endnote w:type="continuationSeparator" w:id="0">
    <w:p w14:paraId="12537BBB" w14:textId="77777777" w:rsidR="007545A6" w:rsidRDefault="007545A6" w:rsidP="00114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0498786"/>
      <w:docPartObj>
        <w:docPartGallery w:val="Page Numbers (Bottom of Page)"/>
        <w:docPartUnique/>
      </w:docPartObj>
    </w:sdtPr>
    <w:sdtEndPr/>
    <w:sdtContent>
      <w:p w14:paraId="4F8D0C3F" w14:textId="77777777" w:rsidR="001140D3" w:rsidRDefault="001140D3">
        <w:pPr>
          <w:pStyle w:val="Zpat"/>
          <w:jc w:val="right"/>
        </w:pPr>
        <w:r>
          <w:t xml:space="preserve">Stránka | </w:t>
        </w:r>
        <w:r w:rsidR="00CA3726">
          <w:fldChar w:fldCharType="begin"/>
        </w:r>
        <w:r w:rsidR="00CA3726">
          <w:instrText>PAGE   \* MERGEFORMAT</w:instrText>
        </w:r>
        <w:r w:rsidR="00CA3726">
          <w:fldChar w:fldCharType="separate"/>
        </w:r>
        <w:r>
          <w:rPr>
            <w:noProof/>
          </w:rPr>
          <w:t>1</w:t>
        </w:r>
        <w:r w:rsidR="00CA3726">
          <w:rPr>
            <w:noProof/>
          </w:rPr>
          <w:fldChar w:fldCharType="end"/>
        </w:r>
        <w:r>
          <w:t xml:space="preserve"> </w:t>
        </w:r>
      </w:p>
    </w:sdtContent>
  </w:sdt>
  <w:p w14:paraId="711BA839" w14:textId="77777777" w:rsidR="001140D3" w:rsidRDefault="001140D3" w:rsidP="0011457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0CE1" w14:textId="77777777" w:rsidR="001140D3" w:rsidRDefault="001140D3">
    <w:pPr>
      <w:pStyle w:val="Zpat"/>
      <w:jc w:val="center"/>
    </w:pPr>
  </w:p>
  <w:p w14:paraId="0B42D108" w14:textId="77777777" w:rsidR="001140D3" w:rsidRDefault="001140D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C1BD" w14:textId="77777777" w:rsidR="001140D3" w:rsidRDefault="001140D3">
    <w:pPr>
      <w:pStyle w:val="Zpat"/>
      <w:jc w:val="right"/>
    </w:pPr>
  </w:p>
  <w:p w14:paraId="3080223D" w14:textId="77777777" w:rsidR="001140D3" w:rsidRDefault="001140D3" w:rsidP="003D076A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0D88" w14:textId="77777777" w:rsidR="001140D3" w:rsidRDefault="001140D3">
    <w:pPr>
      <w:pStyle w:val="Zpat"/>
      <w:jc w:val="right"/>
    </w:pPr>
  </w:p>
  <w:p w14:paraId="6518E4CF" w14:textId="77777777" w:rsidR="001140D3" w:rsidRDefault="001140D3" w:rsidP="0011457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9BC65" w14:textId="77777777" w:rsidR="007545A6" w:rsidRDefault="007545A6" w:rsidP="00114578">
      <w:pPr>
        <w:spacing w:line="240" w:lineRule="auto"/>
      </w:pPr>
      <w:r>
        <w:separator/>
      </w:r>
    </w:p>
  </w:footnote>
  <w:footnote w:type="continuationSeparator" w:id="0">
    <w:p w14:paraId="632F02E9" w14:textId="77777777" w:rsidR="007545A6" w:rsidRDefault="007545A6" w:rsidP="001145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98C5B2"/>
    <w:lvl w:ilvl="0">
      <w:numFmt w:val="decimal"/>
      <w:pStyle w:val="Titulek"/>
      <w:lvlText w:val="*"/>
      <w:lvlJc w:val="left"/>
    </w:lvl>
  </w:abstractNum>
  <w:abstractNum w:abstractNumId="1" w15:restartNumberingAfterBreak="0">
    <w:nsid w:val="00821CF4"/>
    <w:multiLevelType w:val="hybridMultilevel"/>
    <w:tmpl w:val="C4742B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3" w15:restartNumberingAfterBreak="0">
    <w:nsid w:val="0740635E"/>
    <w:multiLevelType w:val="hybridMultilevel"/>
    <w:tmpl w:val="FF9CAF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0D59"/>
    <w:multiLevelType w:val="hybridMultilevel"/>
    <w:tmpl w:val="80EA1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63BF"/>
    <w:multiLevelType w:val="hybridMultilevel"/>
    <w:tmpl w:val="C9147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7AC1"/>
    <w:multiLevelType w:val="hybridMultilevel"/>
    <w:tmpl w:val="61B26E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16F8"/>
    <w:multiLevelType w:val="multilevel"/>
    <w:tmpl w:val="3320A8B2"/>
    <w:numStyleLink w:val="VariantaB-odrky"/>
  </w:abstractNum>
  <w:abstractNum w:abstractNumId="8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9" w15:restartNumberingAfterBreak="0">
    <w:nsid w:val="191872DA"/>
    <w:multiLevelType w:val="multilevel"/>
    <w:tmpl w:val="E8A48D7C"/>
    <w:numStyleLink w:val="VariantaA-sla"/>
  </w:abstractNum>
  <w:abstractNum w:abstractNumId="10" w15:restartNumberingAfterBreak="0">
    <w:nsid w:val="1AAF74C9"/>
    <w:multiLevelType w:val="hybridMultilevel"/>
    <w:tmpl w:val="3B464C0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D801E0"/>
    <w:multiLevelType w:val="hybridMultilevel"/>
    <w:tmpl w:val="54F24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B0694"/>
    <w:multiLevelType w:val="hybridMultilevel"/>
    <w:tmpl w:val="1646C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A6C73"/>
    <w:multiLevelType w:val="hybridMultilevel"/>
    <w:tmpl w:val="4BF20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5D6B"/>
    <w:multiLevelType w:val="hybridMultilevel"/>
    <w:tmpl w:val="4552EAE2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1918AD"/>
    <w:multiLevelType w:val="hybridMultilevel"/>
    <w:tmpl w:val="FF9CAF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5EA2"/>
    <w:multiLevelType w:val="multilevel"/>
    <w:tmpl w:val="E8BAE50A"/>
    <w:numStyleLink w:val="VariantaA-odrky"/>
  </w:abstractNum>
  <w:abstractNum w:abstractNumId="17" w15:restartNumberingAfterBreak="0">
    <w:nsid w:val="2C340E17"/>
    <w:multiLevelType w:val="hybridMultilevel"/>
    <w:tmpl w:val="9DEE61EE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2C723D43"/>
    <w:multiLevelType w:val="hybridMultilevel"/>
    <w:tmpl w:val="D8720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061DA"/>
    <w:multiLevelType w:val="hybridMultilevel"/>
    <w:tmpl w:val="59EC2910"/>
    <w:lvl w:ilvl="0" w:tplc="D28498B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FCA2317"/>
    <w:multiLevelType w:val="hybridMultilevel"/>
    <w:tmpl w:val="E26AA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D4AD0"/>
    <w:multiLevelType w:val="hybridMultilevel"/>
    <w:tmpl w:val="A6EE6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227C7"/>
    <w:multiLevelType w:val="hybridMultilevel"/>
    <w:tmpl w:val="7DFCB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00525"/>
    <w:multiLevelType w:val="hybridMultilevel"/>
    <w:tmpl w:val="FF9CAF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7225F"/>
    <w:multiLevelType w:val="hybridMultilevel"/>
    <w:tmpl w:val="D576ACA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 w15:restartNumberingAfterBreak="0">
    <w:nsid w:val="4C442028"/>
    <w:multiLevelType w:val="hybridMultilevel"/>
    <w:tmpl w:val="C388E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D56D47"/>
    <w:multiLevelType w:val="hybridMultilevel"/>
    <w:tmpl w:val="185CF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27648"/>
    <w:multiLevelType w:val="hybridMultilevel"/>
    <w:tmpl w:val="033215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584F"/>
    <w:multiLevelType w:val="hybridMultilevel"/>
    <w:tmpl w:val="FF9CAF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1" w15:restartNumberingAfterBreak="0">
    <w:nsid w:val="5AF35F43"/>
    <w:multiLevelType w:val="multilevel"/>
    <w:tmpl w:val="0D8ABE32"/>
    <w:numStyleLink w:val="VariantaB-sla"/>
  </w:abstractNum>
  <w:abstractNum w:abstractNumId="32" w15:restartNumberingAfterBreak="0">
    <w:nsid w:val="5CA6157A"/>
    <w:multiLevelType w:val="hybridMultilevel"/>
    <w:tmpl w:val="5D62F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004A3"/>
    <w:multiLevelType w:val="hybridMultilevel"/>
    <w:tmpl w:val="3732DF3A"/>
    <w:lvl w:ilvl="0" w:tplc="D28498B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3045439"/>
    <w:multiLevelType w:val="hybridMultilevel"/>
    <w:tmpl w:val="7920488E"/>
    <w:lvl w:ilvl="0" w:tplc="05CA86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B6FA5"/>
    <w:multiLevelType w:val="hybridMultilevel"/>
    <w:tmpl w:val="DD1C3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B33B9"/>
    <w:multiLevelType w:val="hybridMultilevel"/>
    <w:tmpl w:val="586A2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43C70"/>
    <w:multiLevelType w:val="hybridMultilevel"/>
    <w:tmpl w:val="A004407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4DAD"/>
    <w:multiLevelType w:val="hybridMultilevel"/>
    <w:tmpl w:val="52422726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C03684"/>
    <w:multiLevelType w:val="hybridMultilevel"/>
    <w:tmpl w:val="48E8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570CE"/>
    <w:multiLevelType w:val="hybridMultilevel"/>
    <w:tmpl w:val="A078C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B5B79"/>
    <w:multiLevelType w:val="hybridMultilevel"/>
    <w:tmpl w:val="E7ECFF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6"/>
  </w:num>
  <w:num w:numId="4">
    <w:abstractNumId w:val="2"/>
  </w:num>
  <w:num w:numId="5">
    <w:abstractNumId w:val="31"/>
  </w:num>
  <w:num w:numId="6">
    <w:abstractNumId w:val="16"/>
  </w:num>
  <w:num w:numId="7">
    <w:abstractNumId w:val="9"/>
  </w:num>
  <w:num w:numId="8">
    <w:abstractNumId w:val="7"/>
  </w:num>
  <w:num w:numId="9">
    <w:abstractNumId w:val="39"/>
  </w:num>
  <w:num w:numId="10">
    <w:abstractNumId w:val="0"/>
    <w:lvlOverride w:ilvl="0">
      <w:lvl w:ilvl="0">
        <w:start w:val="1"/>
        <w:numFmt w:val="bullet"/>
        <w:pStyle w:val="Titulek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11">
    <w:abstractNumId w:val="4"/>
  </w:num>
  <w:num w:numId="12">
    <w:abstractNumId w:val="1"/>
  </w:num>
  <w:num w:numId="13">
    <w:abstractNumId w:val="5"/>
  </w:num>
  <w:num w:numId="14">
    <w:abstractNumId w:val="17"/>
  </w:num>
  <w:num w:numId="15">
    <w:abstractNumId w:val="27"/>
  </w:num>
  <w:num w:numId="16">
    <w:abstractNumId w:val="24"/>
  </w:num>
  <w:num w:numId="17">
    <w:abstractNumId w:val="18"/>
  </w:num>
  <w:num w:numId="18">
    <w:abstractNumId w:val="41"/>
  </w:num>
  <w:num w:numId="19">
    <w:abstractNumId w:val="10"/>
  </w:num>
  <w:num w:numId="20">
    <w:abstractNumId w:val="21"/>
  </w:num>
  <w:num w:numId="21">
    <w:abstractNumId w:val="35"/>
  </w:num>
  <w:num w:numId="22">
    <w:abstractNumId w:val="12"/>
  </w:num>
  <w:num w:numId="23">
    <w:abstractNumId w:val="11"/>
  </w:num>
  <w:num w:numId="24">
    <w:abstractNumId w:val="1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8"/>
  </w:num>
  <w:num w:numId="29">
    <w:abstractNumId w:val="20"/>
  </w:num>
  <w:num w:numId="30">
    <w:abstractNumId w:val="14"/>
  </w:num>
  <w:num w:numId="31">
    <w:abstractNumId w:val="36"/>
  </w:num>
  <w:num w:numId="32">
    <w:abstractNumId w:val="37"/>
  </w:num>
  <w:num w:numId="33">
    <w:abstractNumId w:val="29"/>
  </w:num>
  <w:num w:numId="34">
    <w:abstractNumId w:val="23"/>
  </w:num>
  <w:num w:numId="35">
    <w:abstractNumId w:val="15"/>
  </w:num>
  <w:num w:numId="36">
    <w:abstractNumId w:val="22"/>
  </w:num>
  <w:num w:numId="37">
    <w:abstractNumId w:val="34"/>
  </w:num>
  <w:num w:numId="38">
    <w:abstractNumId w:val="40"/>
  </w:num>
  <w:num w:numId="39">
    <w:abstractNumId w:val="32"/>
  </w:num>
  <w:num w:numId="40">
    <w:abstractNumId w:val="6"/>
  </w:num>
  <w:num w:numId="41">
    <w:abstractNumId w:val="3"/>
  </w:num>
  <w:num w:numId="42">
    <w:abstractNumId w:val="33"/>
  </w:num>
  <w:num w:numId="4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C4"/>
    <w:rsid w:val="00005A45"/>
    <w:rsid w:val="000101B2"/>
    <w:rsid w:val="0002674B"/>
    <w:rsid w:val="0004162E"/>
    <w:rsid w:val="0004786B"/>
    <w:rsid w:val="00063405"/>
    <w:rsid w:val="000809B9"/>
    <w:rsid w:val="00085B06"/>
    <w:rsid w:val="00090B40"/>
    <w:rsid w:val="000910C9"/>
    <w:rsid w:val="00095A0A"/>
    <w:rsid w:val="000B1B3D"/>
    <w:rsid w:val="000B3EC7"/>
    <w:rsid w:val="000B4961"/>
    <w:rsid w:val="000C4CAF"/>
    <w:rsid w:val="000C5B74"/>
    <w:rsid w:val="00104F07"/>
    <w:rsid w:val="00111804"/>
    <w:rsid w:val="001140D3"/>
    <w:rsid w:val="00114578"/>
    <w:rsid w:val="00121485"/>
    <w:rsid w:val="00136B0B"/>
    <w:rsid w:val="00153508"/>
    <w:rsid w:val="0018051B"/>
    <w:rsid w:val="00185AD3"/>
    <w:rsid w:val="001A2E96"/>
    <w:rsid w:val="001B1E4A"/>
    <w:rsid w:val="001C2624"/>
    <w:rsid w:val="001C5344"/>
    <w:rsid w:val="001C59FA"/>
    <w:rsid w:val="001D27C0"/>
    <w:rsid w:val="001E74C3"/>
    <w:rsid w:val="001F6937"/>
    <w:rsid w:val="002159E5"/>
    <w:rsid w:val="00220DE3"/>
    <w:rsid w:val="002249C3"/>
    <w:rsid w:val="002317D0"/>
    <w:rsid w:val="00251542"/>
    <w:rsid w:val="0025290D"/>
    <w:rsid w:val="00260372"/>
    <w:rsid w:val="0026232D"/>
    <w:rsid w:val="00262DAF"/>
    <w:rsid w:val="00272037"/>
    <w:rsid w:val="00274A44"/>
    <w:rsid w:val="002767A9"/>
    <w:rsid w:val="00277A5C"/>
    <w:rsid w:val="00292FA2"/>
    <w:rsid w:val="002D1010"/>
    <w:rsid w:val="002E2442"/>
    <w:rsid w:val="002F0E8C"/>
    <w:rsid w:val="002F21CD"/>
    <w:rsid w:val="002F47A6"/>
    <w:rsid w:val="00306DBA"/>
    <w:rsid w:val="00310FA0"/>
    <w:rsid w:val="00315EAB"/>
    <w:rsid w:val="00320481"/>
    <w:rsid w:val="003250CB"/>
    <w:rsid w:val="00363201"/>
    <w:rsid w:val="00370A45"/>
    <w:rsid w:val="0039063C"/>
    <w:rsid w:val="00393D8B"/>
    <w:rsid w:val="003A46A8"/>
    <w:rsid w:val="003A4C7F"/>
    <w:rsid w:val="003B565A"/>
    <w:rsid w:val="003D076A"/>
    <w:rsid w:val="0041427F"/>
    <w:rsid w:val="004509E5"/>
    <w:rsid w:val="00486FB9"/>
    <w:rsid w:val="004C212A"/>
    <w:rsid w:val="004F0D2E"/>
    <w:rsid w:val="00500232"/>
    <w:rsid w:val="00501D83"/>
    <w:rsid w:val="00504668"/>
    <w:rsid w:val="00512495"/>
    <w:rsid w:val="0052500E"/>
    <w:rsid w:val="00526F71"/>
    <w:rsid w:val="00534D6A"/>
    <w:rsid w:val="00535F54"/>
    <w:rsid w:val="00542BB8"/>
    <w:rsid w:val="005455E1"/>
    <w:rsid w:val="005502BD"/>
    <w:rsid w:val="00552920"/>
    <w:rsid w:val="00555ED6"/>
    <w:rsid w:val="00556787"/>
    <w:rsid w:val="005A0B15"/>
    <w:rsid w:val="005C2560"/>
    <w:rsid w:val="005F7585"/>
    <w:rsid w:val="00633ABB"/>
    <w:rsid w:val="006400D6"/>
    <w:rsid w:val="00650C6C"/>
    <w:rsid w:val="00651B7E"/>
    <w:rsid w:val="00652FE6"/>
    <w:rsid w:val="0066436C"/>
    <w:rsid w:val="00670468"/>
    <w:rsid w:val="006957B0"/>
    <w:rsid w:val="00696682"/>
    <w:rsid w:val="006D04EF"/>
    <w:rsid w:val="006E2FB0"/>
    <w:rsid w:val="007102D2"/>
    <w:rsid w:val="007117C5"/>
    <w:rsid w:val="00713948"/>
    <w:rsid w:val="00732771"/>
    <w:rsid w:val="00733AC4"/>
    <w:rsid w:val="00746805"/>
    <w:rsid w:val="007516A3"/>
    <w:rsid w:val="00753A27"/>
    <w:rsid w:val="007545A6"/>
    <w:rsid w:val="0079342A"/>
    <w:rsid w:val="007B4949"/>
    <w:rsid w:val="007C1C0A"/>
    <w:rsid w:val="007D5CCD"/>
    <w:rsid w:val="007E4643"/>
    <w:rsid w:val="007F0BC6"/>
    <w:rsid w:val="00831374"/>
    <w:rsid w:val="00857580"/>
    <w:rsid w:val="00865238"/>
    <w:rsid w:val="008667BF"/>
    <w:rsid w:val="00895645"/>
    <w:rsid w:val="008B65B6"/>
    <w:rsid w:val="008C3782"/>
    <w:rsid w:val="008D0E35"/>
    <w:rsid w:val="008D201B"/>
    <w:rsid w:val="008D4A32"/>
    <w:rsid w:val="008D593A"/>
    <w:rsid w:val="008E7760"/>
    <w:rsid w:val="00922001"/>
    <w:rsid w:val="00922C17"/>
    <w:rsid w:val="009303FA"/>
    <w:rsid w:val="00942DDD"/>
    <w:rsid w:val="00943619"/>
    <w:rsid w:val="009516A8"/>
    <w:rsid w:val="0097705C"/>
    <w:rsid w:val="009C0DFE"/>
    <w:rsid w:val="009C7351"/>
    <w:rsid w:val="009D5B6B"/>
    <w:rsid w:val="009F393D"/>
    <w:rsid w:val="009F7F46"/>
    <w:rsid w:val="00A000BF"/>
    <w:rsid w:val="00A0587E"/>
    <w:rsid w:val="00A275BC"/>
    <w:rsid w:val="00A464B4"/>
    <w:rsid w:val="00A63D6B"/>
    <w:rsid w:val="00A72EF7"/>
    <w:rsid w:val="00A7616B"/>
    <w:rsid w:val="00A84B52"/>
    <w:rsid w:val="00A8660F"/>
    <w:rsid w:val="00A95C48"/>
    <w:rsid w:val="00A976CD"/>
    <w:rsid w:val="00A97A87"/>
    <w:rsid w:val="00AA0BC4"/>
    <w:rsid w:val="00AA7056"/>
    <w:rsid w:val="00AB24F0"/>
    <w:rsid w:val="00AB31C6"/>
    <w:rsid w:val="00AB523B"/>
    <w:rsid w:val="00AC14EC"/>
    <w:rsid w:val="00AD7E40"/>
    <w:rsid w:val="00AF4B61"/>
    <w:rsid w:val="00B028E6"/>
    <w:rsid w:val="00B1477A"/>
    <w:rsid w:val="00B20993"/>
    <w:rsid w:val="00B37391"/>
    <w:rsid w:val="00B42E96"/>
    <w:rsid w:val="00B50EE6"/>
    <w:rsid w:val="00B52185"/>
    <w:rsid w:val="00B610E8"/>
    <w:rsid w:val="00B6348B"/>
    <w:rsid w:val="00B90FA6"/>
    <w:rsid w:val="00B9753A"/>
    <w:rsid w:val="00BB479C"/>
    <w:rsid w:val="00BD75A2"/>
    <w:rsid w:val="00BE2A85"/>
    <w:rsid w:val="00C2017A"/>
    <w:rsid w:val="00C20470"/>
    <w:rsid w:val="00C25555"/>
    <w:rsid w:val="00C27DC6"/>
    <w:rsid w:val="00C34B2F"/>
    <w:rsid w:val="00C4641B"/>
    <w:rsid w:val="00C55371"/>
    <w:rsid w:val="00C6690E"/>
    <w:rsid w:val="00C703C5"/>
    <w:rsid w:val="00C805F2"/>
    <w:rsid w:val="00CA3726"/>
    <w:rsid w:val="00CA3CE4"/>
    <w:rsid w:val="00CB0152"/>
    <w:rsid w:val="00CB13BE"/>
    <w:rsid w:val="00CC4498"/>
    <w:rsid w:val="00CC5E40"/>
    <w:rsid w:val="00D1569F"/>
    <w:rsid w:val="00D20B1E"/>
    <w:rsid w:val="00D22462"/>
    <w:rsid w:val="00D230AC"/>
    <w:rsid w:val="00D32489"/>
    <w:rsid w:val="00D328A7"/>
    <w:rsid w:val="00D47392"/>
    <w:rsid w:val="00D571D3"/>
    <w:rsid w:val="00D73CB8"/>
    <w:rsid w:val="00D96C37"/>
    <w:rsid w:val="00DA7591"/>
    <w:rsid w:val="00E05515"/>
    <w:rsid w:val="00E143DA"/>
    <w:rsid w:val="00E17268"/>
    <w:rsid w:val="00E32798"/>
    <w:rsid w:val="00E37588"/>
    <w:rsid w:val="00E51C91"/>
    <w:rsid w:val="00E60937"/>
    <w:rsid w:val="00E650F5"/>
    <w:rsid w:val="00E667C1"/>
    <w:rsid w:val="00EB0A3B"/>
    <w:rsid w:val="00EC3F88"/>
    <w:rsid w:val="00ED1575"/>
    <w:rsid w:val="00ED36D8"/>
    <w:rsid w:val="00EE6BD7"/>
    <w:rsid w:val="00EF48E9"/>
    <w:rsid w:val="00F0689D"/>
    <w:rsid w:val="00F57FEE"/>
    <w:rsid w:val="00FB01B5"/>
    <w:rsid w:val="00FB0792"/>
    <w:rsid w:val="00FF0BC3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87CB2E"/>
  <w15:docId w15:val="{7561B55B-1213-46F3-9BE2-20E5426C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C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5371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004B8D" w:themeColor="text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d_odrazky,Nad,Odstavec cíl se seznamem,Odstavec se seznamem5,Seznam bodů"/>
    <w:basedOn w:val="Normln"/>
    <w:link w:val="OdstavecseseznamemChar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C55371"/>
    <w:rPr>
      <w:rFonts w:asciiTheme="majorHAnsi" w:eastAsiaTheme="majorEastAsia" w:hAnsiTheme="majorHAnsi" w:cstheme="majorBidi"/>
      <w:b/>
      <w:color w:val="004B8D" w:themeColor="text2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C55371"/>
    <w:pPr>
      <w:keepNext/>
      <w:keepLines/>
      <w:spacing w:line="240" w:lineRule="auto"/>
      <w:contextualSpacing/>
    </w:pPr>
    <w:rPr>
      <w:rFonts w:asciiTheme="majorHAnsi" w:eastAsiaTheme="majorEastAsia" w:hAnsiTheme="majorHAnsi" w:cstheme="majorBidi"/>
      <w:color w:val="004B8D" w:themeColor="text2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C55371"/>
    <w:rPr>
      <w:rFonts w:asciiTheme="majorHAnsi" w:eastAsiaTheme="majorEastAsia" w:hAnsiTheme="majorHAnsi" w:cstheme="majorBidi"/>
      <w:color w:val="004B8D" w:themeColor="text2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C55371"/>
    <w:pPr>
      <w:keepLines/>
      <w:pBdr>
        <w:top w:val="single" w:sz="4" w:space="10" w:color="004B8D" w:themeColor="accent2"/>
        <w:bottom w:val="single" w:sz="4" w:space="10" w:color="004B8D" w:themeColor="accent2"/>
      </w:pBdr>
      <w:spacing w:before="240" w:after="240"/>
      <w:ind w:left="357" w:right="357"/>
    </w:pPr>
    <w:rPr>
      <w:i/>
      <w:iCs/>
      <w:color w:val="004B8D" w:themeColor="text2"/>
    </w:rPr>
  </w:style>
  <w:style w:type="character" w:customStyle="1" w:styleId="VrazncittChar">
    <w:name w:val="Výrazný citát Char"/>
    <w:basedOn w:val="Standardnpsmoodstavce"/>
    <w:link w:val="Vrazncitt"/>
    <w:uiPriority w:val="28"/>
    <w:rsid w:val="00C55371"/>
    <w:rPr>
      <w:i/>
      <w:iCs/>
      <w:color w:val="004B8D" w:themeColor="text2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C55371"/>
    <w:pPr>
      <w:keepNext/>
      <w:keepLines/>
      <w:spacing w:before="160"/>
    </w:pPr>
    <w:rPr>
      <w:rFonts w:asciiTheme="majorHAnsi" w:hAnsiTheme="majorHAnsi"/>
      <w:b/>
      <w:color w:val="004B8D" w:themeColor="text2"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aliases w:val="Text v bloku A"/>
    <w:basedOn w:val="Normln"/>
    <w:uiPriority w:val="29"/>
    <w:unhideWhenUsed/>
    <w:rsid w:val="00C55371"/>
    <w:pPr>
      <w:pBdr>
        <w:top w:val="single" w:sz="2" w:space="4" w:color="004B8D" w:themeColor="accent2"/>
        <w:left w:val="single" w:sz="2" w:space="8" w:color="004B8D" w:themeColor="accent2"/>
        <w:bottom w:val="single" w:sz="2" w:space="4" w:color="004B8D" w:themeColor="accent2"/>
        <w:right w:val="single" w:sz="2" w:space="8" w:color="004B8D" w:themeColor="accent2"/>
      </w:pBdr>
      <w:ind w:left="357" w:right="357"/>
    </w:pPr>
    <w:rPr>
      <w:rFonts w:eastAsiaTheme="minorEastAsia"/>
      <w:i/>
      <w:iCs/>
      <w:color w:val="004B8D" w:themeColor="accent2"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TextvblokuB">
    <w:name w:val="Text v bloku B"/>
    <w:basedOn w:val="Normln"/>
    <w:uiPriority w:val="29"/>
    <w:qFormat/>
    <w:rsid w:val="00C55371"/>
    <w:pPr>
      <w:pBdr>
        <w:top w:val="single" w:sz="2" w:space="4" w:color="004B8D" w:themeColor="accent2"/>
        <w:left w:val="single" w:sz="2" w:space="8" w:color="004B8D" w:themeColor="accent2"/>
        <w:bottom w:val="single" w:sz="2" w:space="4" w:color="004B8D" w:themeColor="accent2"/>
        <w:right w:val="single" w:sz="2" w:space="8" w:color="004B8D" w:themeColor="accent2"/>
      </w:pBdr>
      <w:shd w:val="clear" w:color="auto" w:fill="004B8D" w:themeFill="accent2"/>
      <w:ind w:left="357" w:right="357"/>
    </w:pPr>
    <w:rPr>
      <w:color w:val="FFFFFF" w:themeColor="background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pat">
    <w:name w:val="footer"/>
    <w:basedOn w:val="Normln"/>
    <w:link w:val="ZpatChar"/>
    <w:uiPriority w:val="99"/>
    <w:rsid w:val="00AA0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B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Zkladntext"/>
    <w:uiPriority w:val="99"/>
    <w:qFormat/>
    <w:rsid w:val="001C2624"/>
    <w:pPr>
      <w:keepNext/>
      <w:widowControl/>
      <w:numPr>
        <w:numId w:val="10"/>
      </w:numPr>
      <w:adjustRightInd/>
      <w:spacing w:before="60" w:after="240" w:line="220" w:lineRule="atLeast"/>
      <w:jc w:val="left"/>
      <w:textAlignment w:val="auto"/>
    </w:pPr>
    <w:rPr>
      <w:rFonts w:ascii="Arial Narrow" w:hAnsi="Arial Narrow"/>
      <w:sz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C2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624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624"/>
    <w:rPr>
      <w:sz w:val="20"/>
      <w:szCs w:val="20"/>
    </w:rPr>
  </w:style>
  <w:style w:type="table" w:customStyle="1" w:styleId="Svtlmkazvraznn11">
    <w:name w:val="Světlá mřížka – zvýraznění 11"/>
    <w:basedOn w:val="Normlntabulka"/>
    <w:uiPriority w:val="62"/>
    <w:rsid w:val="001C2624"/>
    <w:pPr>
      <w:spacing w:after="0" w:line="240" w:lineRule="auto"/>
    </w:pPr>
    <w:tblPr>
      <w:tblStyleRowBandSize w:val="1"/>
      <w:tblStyleColBandSize w:val="1"/>
      <w:tblBorders>
        <w:top w:val="single" w:sz="8" w:space="0" w:color="E31B23" w:themeColor="accent1"/>
        <w:left w:val="single" w:sz="8" w:space="0" w:color="E31B23" w:themeColor="accent1"/>
        <w:bottom w:val="single" w:sz="8" w:space="0" w:color="E31B23" w:themeColor="accent1"/>
        <w:right w:val="single" w:sz="8" w:space="0" w:color="E31B23" w:themeColor="accent1"/>
        <w:insideH w:val="single" w:sz="8" w:space="0" w:color="E31B23" w:themeColor="accent1"/>
        <w:insideV w:val="single" w:sz="8" w:space="0" w:color="E31B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B23" w:themeColor="accent1"/>
          <w:left w:val="single" w:sz="8" w:space="0" w:color="E31B23" w:themeColor="accent1"/>
          <w:bottom w:val="single" w:sz="18" w:space="0" w:color="E31B23" w:themeColor="accent1"/>
          <w:right w:val="single" w:sz="8" w:space="0" w:color="E31B23" w:themeColor="accent1"/>
          <w:insideH w:val="nil"/>
          <w:insideV w:val="single" w:sz="8" w:space="0" w:color="E31B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1B23" w:themeColor="accent1"/>
          <w:left w:val="single" w:sz="8" w:space="0" w:color="E31B23" w:themeColor="accent1"/>
          <w:bottom w:val="single" w:sz="8" w:space="0" w:color="E31B23" w:themeColor="accent1"/>
          <w:right w:val="single" w:sz="8" w:space="0" w:color="E31B23" w:themeColor="accent1"/>
          <w:insideH w:val="nil"/>
          <w:insideV w:val="single" w:sz="8" w:space="0" w:color="E31B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B23" w:themeColor="accent1"/>
          <w:left w:val="single" w:sz="8" w:space="0" w:color="E31B23" w:themeColor="accent1"/>
          <w:bottom w:val="single" w:sz="8" w:space="0" w:color="E31B23" w:themeColor="accent1"/>
          <w:right w:val="single" w:sz="8" w:space="0" w:color="E31B23" w:themeColor="accent1"/>
        </w:tcBorders>
      </w:tcPr>
    </w:tblStylePr>
    <w:tblStylePr w:type="band1Vert">
      <w:tblPr/>
      <w:tcPr>
        <w:tcBorders>
          <w:top w:val="single" w:sz="8" w:space="0" w:color="E31B23" w:themeColor="accent1"/>
          <w:left w:val="single" w:sz="8" w:space="0" w:color="E31B23" w:themeColor="accent1"/>
          <w:bottom w:val="single" w:sz="8" w:space="0" w:color="E31B23" w:themeColor="accent1"/>
          <w:right w:val="single" w:sz="8" w:space="0" w:color="E31B23" w:themeColor="accent1"/>
        </w:tcBorders>
        <w:shd w:val="clear" w:color="auto" w:fill="F8C6C8" w:themeFill="accent1" w:themeFillTint="3F"/>
      </w:tcPr>
    </w:tblStylePr>
    <w:tblStylePr w:type="band1Horz">
      <w:tblPr/>
      <w:tcPr>
        <w:tcBorders>
          <w:top w:val="single" w:sz="8" w:space="0" w:color="E31B23" w:themeColor="accent1"/>
          <w:left w:val="single" w:sz="8" w:space="0" w:color="E31B23" w:themeColor="accent1"/>
          <w:bottom w:val="single" w:sz="8" w:space="0" w:color="E31B23" w:themeColor="accent1"/>
          <w:right w:val="single" w:sz="8" w:space="0" w:color="E31B23" w:themeColor="accent1"/>
          <w:insideV w:val="single" w:sz="8" w:space="0" w:color="E31B23" w:themeColor="accent1"/>
        </w:tcBorders>
        <w:shd w:val="clear" w:color="auto" w:fill="F8C6C8" w:themeFill="accent1" w:themeFillTint="3F"/>
      </w:tcPr>
    </w:tblStylePr>
    <w:tblStylePr w:type="band2Horz">
      <w:tblPr/>
      <w:tcPr>
        <w:tcBorders>
          <w:top w:val="single" w:sz="8" w:space="0" w:color="E31B23" w:themeColor="accent1"/>
          <w:left w:val="single" w:sz="8" w:space="0" w:color="E31B23" w:themeColor="accent1"/>
          <w:bottom w:val="single" w:sz="8" w:space="0" w:color="E31B23" w:themeColor="accent1"/>
          <w:right w:val="single" w:sz="8" w:space="0" w:color="E31B23" w:themeColor="accent1"/>
          <w:insideV w:val="single" w:sz="8" w:space="0" w:color="E31B23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C26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62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45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5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B0B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B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249C3"/>
    <w:pPr>
      <w:widowControl/>
      <w:adjustRightInd/>
      <w:spacing w:line="240" w:lineRule="auto"/>
      <w:jc w:val="left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49C3"/>
    <w:rPr>
      <w:rFonts w:ascii="Calibri" w:hAnsi="Calibri"/>
      <w:szCs w:val="21"/>
    </w:rPr>
  </w:style>
  <w:style w:type="character" w:customStyle="1" w:styleId="OdstavecseseznamemChar">
    <w:name w:val="Odstavec se seznamem Char"/>
    <w:aliases w:val="dd_odrazky Char,Nad Char,Odstavec cíl se seznamem Char,Odstavec se seznamem5 Char,Seznam bodů Char"/>
    <w:link w:val="Odstavecseseznamem"/>
    <w:uiPriority w:val="35"/>
    <w:locked/>
    <w:rsid w:val="00733AC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mpo-efek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po-efekt.cz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mpo.cz/cz/energetika/energeticka-ucinnost/energeticke-sluzby/seznam-poskytovatelu-energetickych-sluzeb--170967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Normal_color.dotm" TargetMode="Externa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DE697-ABAD-4628-8E74-DC655D4F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Normal_color.dotm</Template>
  <TotalTime>4</TotalTime>
  <Pages>6</Pages>
  <Words>1215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DIGI Akademie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barevném provedení</dc:subject>
  <dc:creator>Sedláčková Jana</dc:creator>
  <cp:lastModifiedBy>Kozák Jan</cp:lastModifiedBy>
  <cp:revision>4</cp:revision>
  <cp:lastPrinted>2022-05-31T13:46:00Z</cp:lastPrinted>
  <dcterms:created xsi:type="dcterms:W3CDTF">2022-06-07T11:03:00Z</dcterms:created>
  <dcterms:modified xsi:type="dcterms:W3CDTF">2022-06-10T07:29:00Z</dcterms:modified>
</cp:coreProperties>
</file>