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F8" w:rsidRPr="00EC4897" w:rsidRDefault="008006F8" w:rsidP="00554326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Dokumentace k přijatým </w:t>
      </w:r>
      <w:proofErr w:type="spellStart"/>
      <w:r>
        <w:rPr>
          <w:rFonts w:asciiTheme="minorHAnsi" w:hAnsiTheme="minorHAnsi"/>
          <w:sz w:val="32"/>
          <w:szCs w:val="32"/>
        </w:rPr>
        <w:t>technicko</w:t>
      </w:r>
      <w:proofErr w:type="spellEnd"/>
      <w:r>
        <w:rPr>
          <w:rFonts w:asciiTheme="minorHAnsi" w:hAnsiTheme="minorHAnsi"/>
          <w:sz w:val="32"/>
          <w:szCs w:val="32"/>
        </w:rPr>
        <w:t xml:space="preserve"> - organizačním opatřením k zajištění ochrany</w:t>
      </w:r>
      <w:r w:rsidRPr="00EC4897">
        <w:rPr>
          <w:rFonts w:asciiTheme="minorHAnsi" w:hAnsiTheme="minorHAnsi"/>
          <w:sz w:val="32"/>
          <w:szCs w:val="32"/>
        </w:rPr>
        <w:t xml:space="preserve"> osobních údajů (OÚ) pro EKIS</w:t>
      </w:r>
      <w:r>
        <w:rPr>
          <w:rFonts w:asciiTheme="minorHAnsi" w:hAnsiTheme="minorHAnsi"/>
          <w:sz w:val="32"/>
          <w:szCs w:val="32"/>
        </w:rPr>
        <w:t xml:space="preserve"> – čestné prohlášení</w:t>
      </w:r>
    </w:p>
    <w:p w:rsidR="008006F8" w:rsidRPr="00EC4897" w:rsidRDefault="008006F8" w:rsidP="00EC4897">
      <w:pPr>
        <w:pStyle w:val="Default"/>
        <w:rPr>
          <w:rFonts w:asciiTheme="minorHAnsi" w:hAnsiTheme="minorHAnsi"/>
        </w:rPr>
      </w:pPr>
    </w:p>
    <w:p w:rsidR="008006F8" w:rsidRPr="00837E2D" w:rsidRDefault="008006F8" w:rsidP="00837E2D">
      <w:pPr>
        <w:pStyle w:val="Pa13"/>
        <w:spacing w:after="160"/>
        <w:jc w:val="both"/>
        <w:rPr>
          <w:rFonts w:asciiTheme="minorHAnsi" w:hAnsiTheme="minorHAnsi" w:cs="DaxlinePro"/>
          <w:sz w:val="22"/>
          <w:szCs w:val="22"/>
        </w:rPr>
      </w:pPr>
      <w:r w:rsidRPr="00EC4897">
        <w:rPr>
          <w:rFonts w:asciiTheme="minorHAnsi" w:hAnsiTheme="minorHAnsi" w:cs="DaxlinePro"/>
          <w:sz w:val="22"/>
          <w:szCs w:val="22"/>
        </w:rPr>
        <w:t>Povinnost správců a zpracovatelů mít zavedena vhodná opatření pro zajištění zabez</w:t>
      </w:r>
      <w:r w:rsidRPr="00EC4897">
        <w:rPr>
          <w:rFonts w:asciiTheme="minorHAnsi" w:hAnsiTheme="minorHAnsi" w:cs="DaxlinePro"/>
          <w:sz w:val="22"/>
          <w:szCs w:val="22"/>
        </w:rPr>
        <w:softHyphen/>
        <w:t>pečení OÚ je</w:t>
      </w:r>
      <w:r>
        <w:rPr>
          <w:rFonts w:asciiTheme="minorHAnsi" w:hAnsiTheme="minorHAnsi" w:cs="DaxlinePro"/>
          <w:sz w:val="22"/>
          <w:szCs w:val="22"/>
        </w:rPr>
        <w:t> </w:t>
      </w:r>
      <w:r w:rsidRPr="00EC4897">
        <w:rPr>
          <w:rFonts w:asciiTheme="minorHAnsi" w:hAnsiTheme="minorHAnsi" w:cs="DaxlinePro"/>
          <w:sz w:val="22"/>
          <w:szCs w:val="22"/>
        </w:rPr>
        <w:t xml:space="preserve">stanovena v </w:t>
      </w:r>
      <w:r w:rsidRPr="00EC4897">
        <w:rPr>
          <w:rFonts w:asciiTheme="minorHAnsi" w:hAnsiTheme="minorHAnsi" w:cs="DaxlinePro"/>
          <w:bCs/>
          <w:sz w:val="22"/>
          <w:szCs w:val="22"/>
        </w:rPr>
        <w:t xml:space="preserve">právu Rady Evropy </w:t>
      </w:r>
      <w:r>
        <w:rPr>
          <w:rFonts w:asciiTheme="minorHAnsi" w:hAnsiTheme="minorHAnsi" w:cs="DaxlinePro"/>
          <w:bCs/>
          <w:sz w:val="22"/>
          <w:szCs w:val="22"/>
        </w:rPr>
        <w:t xml:space="preserve">(RE) </w:t>
      </w:r>
      <w:r w:rsidRPr="00EC4897">
        <w:rPr>
          <w:rFonts w:asciiTheme="minorHAnsi" w:hAnsiTheme="minorHAnsi" w:cs="DaxlinePro"/>
          <w:bCs/>
          <w:sz w:val="22"/>
          <w:szCs w:val="22"/>
        </w:rPr>
        <w:t xml:space="preserve">v oblasti ochrany údajů </w:t>
      </w:r>
      <w:r w:rsidRPr="00EC4897">
        <w:rPr>
          <w:rFonts w:asciiTheme="minorHAnsi" w:hAnsiTheme="minorHAnsi" w:cs="DaxlinePro"/>
          <w:sz w:val="22"/>
          <w:szCs w:val="22"/>
        </w:rPr>
        <w:t xml:space="preserve">i v </w:t>
      </w:r>
      <w:r w:rsidRPr="00EC4897">
        <w:rPr>
          <w:rFonts w:asciiTheme="minorHAnsi" w:hAnsiTheme="minorHAnsi" w:cs="DaxlinePro"/>
          <w:bCs/>
          <w:sz w:val="22"/>
          <w:szCs w:val="22"/>
        </w:rPr>
        <w:t>právu E</w:t>
      </w:r>
      <w:r>
        <w:rPr>
          <w:rFonts w:asciiTheme="minorHAnsi" w:hAnsiTheme="minorHAnsi" w:cs="DaxlinePro"/>
          <w:bCs/>
          <w:sz w:val="22"/>
          <w:szCs w:val="22"/>
        </w:rPr>
        <w:t>vropské unie</w:t>
      </w:r>
      <w:r w:rsidRPr="00EC4897">
        <w:rPr>
          <w:rFonts w:asciiTheme="minorHAnsi" w:hAnsiTheme="minorHAnsi" w:cs="DaxlinePro"/>
          <w:bCs/>
          <w:sz w:val="22"/>
          <w:szCs w:val="22"/>
        </w:rPr>
        <w:t xml:space="preserve"> </w:t>
      </w:r>
      <w:r>
        <w:rPr>
          <w:rFonts w:asciiTheme="minorHAnsi" w:hAnsiTheme="minorHAnsi" w:cs="DaxlinePro"/>
          <w:bCs/>
          <w:sz w:val="22"/>
          <w:szCs w:val="22"/>
        </w:rPr>
        <w:t xml:space="preserve">(EU) </w:t>
      </w:r>
      <w:r w:rsidRPr="00EC4897">
        <w:rPr>
          <w:rFonts w:asciiTheme="minorHAnsi" w:hAnsiTheme="minorHAnsi" w:cs="DaxlinePro"/>
          <w:bCs/>
          <w:sz w:val="22"/>
          <w:szCs w:val="22"/>
        </w:rPr>
        <w:t>v oblasti ochrany údajů</w:t>
      </w:r>
      <w:r w:rsidRPr="00EC4897">
        <w:rPr>
          <w:rFonts w:asciiTheme="minorHAnsi" w:hAnsiTheme="minorHAnsi" w:cs="DaxlinePro"/>
          <w:sz w:val="22"/>
          <w:szCs w:val="22"/>
        </w:rPr>
        <w:t xml:space="preserve">. </w:t>
      </w:r>
    </w:p>
    <w:p w:rsidR="008006F8" w:rsidRPr="004D44A9" w:rsidRDefault="008006F8" w:rsidP="00314639">
      <w:pPr>
        <w:pStyle w:val="Pa13"/>
        <w:spacing w:after="160"/>
        <w:jc w:val="both"/>
        <w:rPr>
          <w:rFonts w:asciiTheme="minorHAnsi" w:hAnsiTheme="minorHAnsi" w:cs="DaxlinePro"/>
          <w:color w:val="000000"/>
          <w:sz w:val="22"/>
          <w:szCs w:val="22"/>
        </w:rPr>
      </w:pPr>
      <w:r w:rsidRPr="004D44A9">
        <w:rPr>
          <w:rFonts w:asciiTheme="minorHAnsi" w:hAnsiTheme="minorHAnsi" w:cs="DaxlinePro"/>
          <w:color w:val="000000"/>
          <w:sz w:val="22"/>
          <w:szCs w:val="22"/>
        </w:rPr>
        <w:t xml:space="preserve">Příslušné ustanovení </w:t>
      </w:r>
      <w:r w:rsidRPr="004D44A9">
        <w:rPr>
          <w:rFonts w:asciiTheme="minorHAnsi" w:hAnsiTheme="minorHAnsi" w:cs="DaxlinePro"/>
          <w:bCs/>
          <w:color w:val="000000"/>
          <w:sz w:val="22"/>
          <w:szCs w:val="22"/>
        </w:rPr>
        <w:t>práva EU</w:t>
      </w:r>
      <w:r w:rsidRPr="004D44A9">
        <w:rPr>
          <w:rFonts w:asciiTheme="minorHAnsi" w:hAnsiTheme="minorHAnsi" w:cs="DaxlinePro"/>
          <w:color w:val="000000"/>
          <w:sz w:val="22"/>
          <w:szCs w:val="22"/>
        </w:rPr>
        <w:t xml:space="preserve">: </w:t>
      </w:r>
    </w:p>
    <w:p w:rsidR="008006F8" w:rsidRPr="004D44A9" w:rsidRDefault="008006F8" w:rsidP="00314639">
      <w:pPr>
        <w:pStyle w:val="Pa37"/>
        <w:spacing w:after="160"/>
        <w:ind w:right="280"/>
        <w:rPr>
          <w:rFonts w:asciiTheme="minorHAnsi" w:hAnsiTheme="minorHAnsi" w:cs="DaxlinePro"/>
          <w:color w:val="000000"/>
          <w:sz w:val="22"/>
          <w:szCs w:val="22"/>
        </w:rPr>
      </w:pPr>
      <w:r w:rsidRPr="004D44A9">
        <w:rPr>
          <w:rFonts w:asciiTheme="minorHAnsi" w:hAnsiTheme="minorHAnsi" w:cs="DaxlinePro"/>
          <w:i/>
          <w:iCs/>
          <w:color w:val="000000"/>
          <w:sz w:val="22"/>
          <w:szCs w:val="22"/>
        </w:rPr>
        <w:t>„Členské státy stanoví, že správce musí přijmout vhodná technická a organizační opatření na ochranu osobních údajů proti náhodnému nebo nedovolenému zničení, náhodné ztrátě, úpravám, neoprávněnému sdělování nebo přístupu, zejména pokud zpracování zahrnuje předávání údajů v síti, jakož i proti jakékoli jiné podobě nedovoleného zpracování."</w:t>
      </w:r>
      <w:r w:rsidRPr="004D44A9">
        <w:rPr>
          <w:rStyle w:val="A14"/>
          <w:rFonts w:asciiTheme="minorHAnsi" w:hAnsiTheme="minorHAnsi"/>
          <w:i/>
          <w:iCs/>
          <w:sz w:val="22"/>
          <w:szCs w:val="22"/>
        </w:rPr>
        <w:t xml:space="preserve"> </w:t>
      </w:r>
    </w:p>
    <w:p w:rsidR="008006F8" w:rsidRPr="00C9583C" w:rsidRDefault="008006F8" w:rsidP="00314639">
      <w:pPr>
        <w:pStyle w:val="Pa13"/>
        <w:spacing w:after="160"/>
        <w:jc w:val="both"/>
        <w:rPr>
          <w:rFonts w:asciiTheme="minorHAnsi" w:hAnsiTheme="minorHAnsi" w:cs="DaxlinePro"/>
          <w:color w:val="000000"/>
          <w:sz w:val="22"/>
          <w:szCs w:val="22"/>
        </w:rPr>
      </w:pPr>
      <w:r w:rsidRPr="004D44A9">
        <w:rPr>
          <w:rFonts w:asciiTheme="minorHAnsi" w:hAnsiTheme="minorHAnsi" w:cs="DaxlinePro"/>
          <w:color w:val="000000"/>
          <w:sz w:val="22"/>
          <w:szCs w:val="22"/>
        </w:rPr>
        <w:t xml:space="preserve">Podobné ustanovení v </w:t>
      </w:r>
      <w:r w:rsidRPr="004D44A9">
        <w:rPr>
          <w:rFonts w:asciiTheme="minorHAnsi" w:hAnsiTheme="minorHAnsi" w:cs="DaxlinePro"/>
          <w:bCs/>
          <w:color w:val="000000"/>
          <w:sz w:val="22"/>
          <w:szCs w:val="22"/>
        </w:rPr>
        <w:t>právu RE</w:t>
      </w:r>
      <w:r w:rsidRPr="004D44A9">
        <w:rPr>
          <w:rFonts w:asciiTheme="minorHAnsi" w:hAnsiTheme="minorHAnsi" w:cs="DaxlinePro"/>
          <w:color w:val="000000"/>
          <w:sz w:val="22"/>
          <w:szCs w:val="22"/>
        </w:rPr>
        <w:t xml:space="preserve">: </w:t>
      </w:r>
      <w:r>
        <w:rPr>
          <w:rFonts w:asciiTheme="minorHAnsi" w:hAnsiTheme="minorHAnsi" w:cs="DaxlinePro"/>
          <w:color w:val="000000"/>
          <w:sz w:val="22"/>
          <w:szCs w:val="22"/>
        </w:rPr>
        <w:t xml:space="preserve">  </w:t>
      </w:r>
      <w:r w:rsidRPr="00314639">
        <w:rPr>
          <w:rFonts w:asciiTheme="minorHAnsi" w:hAnsiTheme="minorHAnsi" w:cs="DaxlinePro"/>
          <w:i/>
          <w:iCs/>
          <w:color w:val="000000"/>
          <w:sz w:val="22"/>
          <w:szCs w:val="22"/>
        </w:rPr>
        <w:t>„Je třeba učinit vhodná bezpečnostní opatření na ochranu osobních údajů uložených v automatizovaných souborech dat proti náhodnému nebo neoprávněnému zničení nebo náhodné ztrátě, jakož i proti neoprávněnému přístupu, změnám nebo šíření.“</w:t>
      </w:r>
    </w:p>
    <w:p w:rsidR="008006F8" w:rsidRPr="00C9583C" w:rsidRDefault="008006F8" w:rsidP="00837E2D">
      <w:pPr>
        <w:pStyle w:val="Default"/>
        <w:spacing w:after="1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Výňatek z pokynů Úřadu pro ochranu osobních údajů:  "</w:t>
      </w:r>
      <w:r w:rsidRPr="00E12F03">
        <w:rPr>
          <w:rFonts w:asciiTheme="minorHAnsi" w:hAnsiTheme="minorHAnsi"/>
          <w:i/>
          <w:color w:val="auto"/>
          <w:sz w:val="22"/>
          <w:szCs w:val="22"/>
        </w:rPr>
        <w:t>Pravidla bezpečnosti zpracování OÚ zahrnují povinnost správce a zpracovatele přijmout vhodná technická a</w:t>
      </w:r>
      <w:r>
        <w:rPr>
          <w:rFonts w:asciiTheme="minorHAnsi" w:hAnsiTheme="minorHAnsi"/>
          <w:i/>
          <w:color w:val="auto"/>
          <w:sz w:val="22"/>
          <w:szCs w:val="22"/>
        </w:rPr>
        <w:t> </w:t>
      </w:r>
      <w:r w:rsidRPr="00E12F03">
        <w:rPr>
          <w:rFonts w:asciiTheme="minorHAnsi" w:hAnsiTheme="minorHAnsi"/>
          <w:i/>
          <w:color w:val="auto"/>
          <w:sz w:val="22"/>
          <w:szCs w:val="22"/>
        </w:rPr>
        <w:t xml:space="preserve">organizační opatření, aby zamezili neoprávněnému zasahování do zpracování OÚ. </w:t>
      </w:r>
    </w:p>
    <w:p w:rsidR="008006F8" w:rsidRPr="00E12F03" w:rsidRDefault="008006F8" w:rsidP="00837E2D">
      <w:pPr>
        <w:pStyle w:val="Default"/>
        <w:spacing w:after="116"/>
        <w:rPr>
          <w:rFonts w:asciiTheme="minorHAnsi" w:hAnsiTheme="minorHAnsi"/>
          <w:i/>
          <w:color w:val="auto"/>
          <w:sz w:val="22"/>
          <w:szCs w:val="22"/>
        </w:rPr>
      </w:pPr>
      <w:r w:rsidRPr="00E12F03">
        <w:rPr>
          <w:rFonts w:asciiTheme="minorHAnsi" w:hAnsiTheme="minorHAnsi"/>
          <w:i/>
          <w:color w:val="auto"/>
          <w:sz w:val="22"/>
          <w:szCs w:val="22"/>
        </w:rPr>
        <w:t xml:space="preserve">Požadovaná úroveň zabezpečení OÚ je určena bezpečnostními funkcemi dostupnými na trhu pro jakýkoli konkrétní typ zpracování a citlivostí zpracovávaných OÚ. </w:t>
      </w:r>
    </w:p>
    <w:p w:rsidR="008006F8" w:rsidRDefault="008006F8" w:rsidP="00837E2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12F03">
        <w:rPr>
          <w:rFonts w:asciiTheme="minorHAnsi" w:hAnsiTheme="minorHAnsi"/>
          <w:i/>
          <w:color w:val="auto"/>
          <w:sz w:val="22"/>
          <w:szCs w:val="22"/>
        </w:rPr>
        <w:t>Bezpečné zpracování OÚ zabezpečuje také obecná povinnost všech osob, správců nebo zpracovatelů OÚ, zajistit, aby údaje zůstaly důvěrné.</w:t>
      </w:r>
      <w:r>
        <w:rPr>
          <w:rFonts w:asciiTheme="minorHAnsi" w:hAnsiTheme="minorHAnsi"/>
          <w:i/>
          <w:color w:val="auto"/>
          <w:sz w:val="22"/>
          <w:szCs w:val="22"/>
        </w:rPr>
        <w:t>"</w:t>
      </w:r>
      <w:r w:rsidRPr="00EC489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8006F8" w:rsidRPr="00EC4897" w:rsidRDefault="008006F8" w:rsidP="00C73284">
      <w:pPr>
        <w:pStyle w:val="Default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:rsidR="008006F8" w:rsidRPr="00350509" w:rsidRDefault="008006F8" w:rsidP="00554326">
      <w:pPr>
        <w:pStyle w:val="Pa27"/>
        <w:spacing w:before="120" w:after="120"/>
        <w:jc w:val="both"/>
        <w:rPr>
          <w:rFonts w:asciiTheme="minorHAnsi" w:hAnsiTheme="minorHAnsi" w:cs="DaxlinePro"/>
          <w:b/>
          <w:bCs/>
          <w:color w:val="000000"/>
          <w:sz w:val="22"/>
          <w:szCs w:val="22"/>
        </w:rPr>
      </w:pPr>
      <w:r w:rsidRPr="00350509">
        <w:rPr>
          <w:rFonts w:asciiTheme="minorHAnsi" w:hAnsiTheme="minorHAnsi" w:cs="DaxlinePro"/>
          <w:b/>
          <w:bCs/>
          <w:color w:val="000000"/>
          <w:sz w:val="22"/>
          <w:szCs w:val="22"/>
        </w:rPr>
        <w:t xml:space="preserve">Pravidla pro </w:t>
      </w:r>
      <w:r>
        <w:rPr>
          <w:rFonts w:asciiTheme="minorHAnsi" w:hAnsiTheme="minorHAnsi" w:cs="DaxlinePro"/>
          <w:b/>
          <w:bCs/>
          <w:color w:val="000000"/>
          <w:sz w:val="22"/>
          <w:szCs w:val="22"/>
        </w:rPr>
        <w:t xml:space="preserve">ochranu OÚ získaných při provozu </w:t>
      </w:r>
      <w:r w:rsidRPr="00350509">
        <w:rPr>
          <w:rFonts w:asciiTheme="minorHAnsi" w:hAnsiTheme="minorHAnsi" w:cs="DaxlinePro"/>
          <w:b/>
          <w:bCs/>
          <w:color w:val="000000"/>
          <w:sz w:val="22"/>
          <w:szCs w:val="22"/>
        </w:rPr>
        <w:t>EKIS</w:t>
      </w:r>
    </w:p>
    <w:p w:rsidR="008006F8" w:rsidRPr="00350509" w:rsidRDefault="008006F8" w:rsidP="00565221">
      <w:pPr>
        <w:pStyle w:val="Default"/>
        <w:numPr>
          <w:ilvl w:val="0"/>
          <w:numId w:val="17"/>
        </w:numPr>
        <w:spacing w:after="116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Obecná opatření k ochraně OÚ klientů EKIS</w:t>
      </w:r>
    </w:p>
    <w:p w:rsidR="008006F8" w:rsidRPr="00350509" w:rsidRDefault="008006F8" w:rsidP="00565221">
      <w:pPr>
        <w:pStyle w:val="Default"/>
        <w:numPr>
          <w:ilvl w:val="0"/>
          <w:numId w:val="17"/>
        </w:numPr>
        <w:spacing w:after="116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Ochrana OÚ uvedených na evidenčních listech osobních konzultací (EL)</w:t>
      </w:r>
    </w:p>
    <w:p w:rsidR="008006F8" w:rsidRDefault="008006F8" w:rsidP="00565221">
      <w:pPr>
        <w:pStyle w:val="Default"/>
        <w:numPr>
          <w:ilvl w:val="0"/>
          <w:numId w:val="17"/>
        </w:numPr>
        <w:pBdr>
          <w:bottom w:val="single" w:sz="12" w:space="1" w:color="auto"/>
        </w:pBdr>
        <w:spacing w:after="116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Ochrana OÚ shromážděných v centrální elektronické evidenci konzultací (CEEK)</w:t>
      </w:r>
    </w:p>
    <w:p w:rsidR="008006F8" w:rsidRPr="00350509" w:rsidRDefault="008006F8" w:rsidP="00565221">
      <w:pPr>
        <w:pStyle w:val="Default"/>
        <w:rPr>
          <w:rFonts w:asciiTheme="minorHAnsi" w:hAnsiTheme="minorHAnsi"/>
          <w:sz w:val="22"/>
          <w:szCs w:val="22"/>
        </w:rPr>
      </w:pPr>
    </w:p>
    <w:p w:rsidR="008006F8" w:rsidRPr="00350509" w:rsidRDefault="008006F8" w:rsidP="002A354C">
      <w:pPr>
        <w:pStyle w:val="Default"/>
        <w:numPr>
          <w:ilvl w:val="0"/>
          <w:numId w:val="2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Obecná opatření k ochraně OÚ klientů EKI</w:t>
      </w:r>
      <w:r>
        <w:rPr>
          <w:rFonts w:asciiTheme="minorHAnsi" w:hAnsiTheme="minorHAnsi"/>
          <w:color w:val="auto"/>
          <w:sz w:val="22"/>
          <w:szCs w:val="22"/>
        </w:rPr>
        <w:t>S</w:t>
      </w:r>
    </w:p>
    <w:p w:rsidR="008006F8" w:rsidRPr="00B37D5B" w:rsidRDefault="008006F8" w:rsidP="002A354C">
      <w:pPr>
        <w:pStyle w:val="Pa13"/>
        <w:numPr>
          <w:ilvl w:val="0"/>
          <w:numId w:val="19"/>
        </w:numPr>
        <w:spacing w:after="120"/>
        <w:jc w:val="both"/>
        <w:rPr>
          <w:rFonts w:asciiTheme="minorHAnsi" w:hAnsiTheme="minorHAnsi" w:cs="DaxlinePro"/>
          <w:color w:val="000000"/>
          <w:sz w:val="22"/>
          <w:szCs w:val="22"/>
        </w:rPr>
      </w:pPr>
      <w:r w:rsidRPr="00B37D5B">
        <w:rPr>
          <w:rFonts w:asciiTheme="minorHAnsi" w:hAnsiTheme="minorHAnsi" w:cs="DaxlinePro"/>
          <w:color w:val="000000"/>
          <w:sz w:val="22"/>
          <w:szCs w:val="22"/>
        </w:rPr>
        <w:t xml:space="preserve">Správné vybavení – hardware a software </w:t>
      </w:r>
    </w:p>
    <w:p w:rsidR="008006F8" w:rsidRPr="00B37D5B" w:rsidRDefault="008006F8" w:rsidP="002A354C">
      <w:pPr>
        <w:pStyle w:val="Default"/>
        <w:spacing w:after="120"/>
        <w:ind w:left="708"/>
        <w:rPr>
          <w:rFonts w:asciiTheme="minorHAnsi" w:hAnsiTheme="minorHAnsi"/>
          <w:i/>
          <w:sz w:val="22"/>
          <w:szCs w:val="22"/>
        </w:rPr>
      </w:pPr>
      <w:r w:rsidRPr="00B37D5B">
        <w:rPr>
          <w:rFonts w:asciiTheme="minorHAnsi" w:hAnsiTheme="minorHAnsi"/>
          <w:i/>
          <w:sz w:val="22"/>
          <w:szCs w:val="22"/>
        </w:rPr>
        <w:t xml:space="preserve">HW musí být zabezpečen heslem proti neoprávněnému použití, operační systém počítače a ostatní SW vhodnou ochranou proti neoprávněnému přístupu, proti tzv. </w:t>
      </w:r>
      <w:proofErr w:type="gramStart"/>
      <w:r w:rsidRPr="00B37D5B">
        <w:rPr>
          <w:rFonts w:asciiTheme="minorHAnsi" w:hAnsiTheme="minorHAnsi"/>
          <w:i/>
          <w:sz w:val="22"/>
          <w:szCs w:val="22"/>
        </w:rPr>
        <w:t>hackerům a pod.</w:t>
      </w:r>
      <w:proofErr w:type="gramEnd"/>
      <w:r w:rsidRPr="00B37D5B">
        <w:rPr>
          <w:rFonts w:asciiTheme="minorHAnsi" w:hAnsiTheme="minorHAnsi"/>
          <w:i/>
          <w:sz w:val="22"/>
          <w:szCs w:val="22"/>
        </w:rPr>
        <w:t xml:space="preserve"> SW=CEEK zajistilo MPO, které zodpovídá za jeho zabezpečení.</w:t>
      </w:r>
    </w:p>
    <w:p w:rsidR="008006F8" w:rsidRPr="00B37D5B" w:rsidRDefault="008006F8" w:rsidP="002A354C">
      <w:pPr>
        <w:pStyle w:val="Pa13"/>
        <w:numPr>
          <w:ilvl w:val="0"/>
          <w:numId w:val="19"/>
        </w:numPr>
        <w:spacing w:after="120"/>
        <w:jc w:val="both"/>
        <w:rPr>
          <w:rFonts w:asciiTheme="minorHAnsi" w:hAnsiTheme="minorHAnsi" w:cs="DaxlinePro"/>
          <w:color w:val="000000"/>
          <w:sz w:val="22"/>
          <w:szCs w:val="22"/>
        </w:rPr>
      </w:pPr>
      <w:r w:rsidRPr="00B37D5B">
        <w:rPr>
          <w:rFonts w:asciiTheme="minorHAnsi" w:hAnsiTheme="minorHAnsi" w:cs="DaxlinePro"/>
          <w:color w:val="000000"/>
          <w:sz w:val="22"/>
          <w:szCs w:val="22"/>
        </w:rPr>
        <w:t>Vhodná interní organizační pravidla</w:t>
      </w:r>
      <w:r>
        <w:rPr>
          <w:rFonts w:asciiTheme="minorHAnsi" w:hAnsiTheme="minorHAnsi" w:cs="DaxlinePro"/>
          <w:color w:val="000000"/>
          <w:sz w:val="22"/>
          <w:szCs w:val="22"/>
        </w:rPr>
        <w:t xml:space="preserve"> - t</w:t>
      </w:r>
      <w:r w:rsidRPr="00B37D5B">
        <w:rPr>
          <w:rFonts w:asciiTheme="minorHAnsi" w:hAnsiTheme="minorHAnsi" w:cs="DaxlinePro"/>
          <w:color w:val="000000"/>
          <w:sz w:val="22"/>
          <w:szCs w:val="22"/>
        </w:rPr>
        <w:t xml:space="preserve">a by se měla týkat těchto otázek: </w:t>
      </w:r>
    </w:p>
    <w:p w:rsidR="008006F8" w:rsidRPr="00B37D5B" w:rsidRDefault="008006F8" w:rsidP="009B0329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B37D5B">
        <w:rPr>
          <w:rFonts w:asciiTheme="minorHAnsi" w:hAnsiTheme="minorHAnsi"/>
          <w:sz w:val="22"/>
          <w:szCs w:val="22"/>
        </w:rPr>
        <w:t xml:space="preserve">Pravidelné poskytování informací všem zaměstnancům o pravidlech týkajících se zabezpečení údajů a jejich povinnostech v souladu s právem v oblasti ochrany údajů. </w:t>
      </w:r>
    </w:p>
    <w:p w:rsidR="008006F8" w:rsidRPr="00B37D5B" w:rsidRDefault="008006F8" w:rsidP="002A354C">
      <w:pPr>
        <w:pStyle w:val="Default"/>
        <w:spacing w:after="120"/>
        <w:ind w:left="1080"/>
        <w:rPr>
          <w:rFonts w:asciiTheme="minorHAnsi" w:hAnsiTheme="minorHAnsi"/>
          <w:i/>
          <w:sz w:val="22"/>
          <w:szCs w:val="22"/>
        </w:rPr>
      </w:pPr>
      <w:r w:rsidRPr="00B37D5B">
        <w:rPr>
          <w:rFonts w:asciiTheme="minorHAnsi" w:hAnsiTheme="minorHAnsi"/>
          <w:i/>
          <w:sz w:val="22"/>
          <w:szCs w:val="22"/>
        </w:rPr>
        <w:t xml:space="preserve">Všichni poradci a osoby </w:t>
      </w:r>
      <w:r>
        <w:rPr>
          <w:rFonts w:asciiTheme="minorHAnsi" w:hAnsiTheme="minorHAnsi"/>
          <w:i/>
          <w:sz w:val="22"/>
          <w:szCs w:val="22"/>
        </w:rPr>
        <w:t>s přístupovým právem k</w:t>
      </w:r>
      <w:r w:rsidRPr="00B37D5B">
        <w:rPr>
          <w:rFonts w:asciiTheme="minorHAnsi" w:hAnsiTheme="minorHAnsi"/>
          <w:i/>
          <w:sz w:val="22"/>
          <w:szCs w:val="22"/>
        </w:rPr>
        <w:t xml:space="preserve"> OÚ budou každoročně, nejméně 1x při zahájení práce pro EKIS, informování o důležitosti ochrany OÚ klientů, o povinnosti mlčenlivosti, o</w:t>
      </w:r>
      <w:r>
        <w:rPr>
          <w:rFonts w:asciiTheme="minorHAnsi" w:hAnsiTheme="minorHAnsi"/>
          <w:i/>
          <w:sz w:val="22"/>
          <w:szCs w:val="22"/>
        </w:rPr>
        <w:t> </w:t>
      </w:r>
      <w:r w:rsidRPr="00B37D5B">
        <w:rPr>
          <w:rFonts w:asciiTheme="minorHAnsi" w:hAnsiTheme="minorHAnsi"/>
          <w:i/>
          <w:sz w:val="22"/>
          <w:szCs w:val="22"/>
        </w:rPr>
        <w:t>pravidlech pro o práci s EL a CEEK.</w:t>
      </w:r>
    </w:p>
    <w:p w:rsidR="008006F8" w:rsidRPr="009B0329" w:rsidRDefault="008006F8" w:rsidP="009B0329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Osoby s přístupovým právem k OÚ musí být jasně specifikovány a informovány o povinnostech vzhledem k ochraně OÚ. </w:t>
      </w:r>
      <w:r w:rsidRPr="00B37D5B">
        <w:rPr>
          <w:rFonts w:asciiTheme="minorHAnsi" w:hAnsiTheme="minorHAnsi"/>
          <w:i/>
          <w:sz w:val="22"/>
          <w:szCs w:val="22"/>
        </w:rPr>
        <w:t>Nikdo další nesmí mít přístup do CEEK a k archivu EL.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B37D5B">
        <w:rPr>
          <w:rFonts w:asciiTheme="minorHAnsi" w:hAnsiTheme="minorHAnsi"/>
          <w:i/>
          <w:sz w:val="22"/>
          <w:szCs w:val="22"/>
        </w:rPr>
        <w:t>Poradci ani jiné osoby s</w:t>
      </w:r>
      <w:r>
        <w:rPr>
          <w:rFonts w:asciiTheme="minorHAnsi" w:hAnsiTheme="minorHAnsi"/>
          <w:i/>
          <w:sz w:val="22"/>
          <w:szCs w:val="22"/>
        </w:rPr>
        <w:t> </w:t>
      </w:r>
      <w:r w:rsidRPr="00B37D5B">
        <w:rPr>
          <w:rFonts w:asciiTheme="minorHAnsi" w:hAnsiTheme="minorHAnsi"/>
          <w:i/>
          <w:sz w:val="22"/>
          <w:szCs w:val="22"/>
        </w:rPr>
        <w:t>přístup</w:t>
      </w:r>
      <w:r>
        <w:rPr>
          <w:rFonts w:asciiTheme="minorHAnsi" w:hAnsiTheme="minorHAnsi"/>
          <w:i/>
          <w:sz w:val="22"/>
          <w:szCs w:val="22"/>
        </w:rPr>
        <w:t>ovým právem</w:t>
      </w:r>
      <w:r w:rsidRPr="00B37D5B">
        <w:rPr>
          <w:rFonts w:asciiTheme="minorHAnsi" w:hAnsiTheme="minorHAnsi"/>
          <w:i/>
          <w:sz w:val="22"/>
          <w:szCs w:val="22"/>
        </w:rPr>
        <w:t xml:space="preserve"> k OÚ nesmějí OÚ předávat třetím osobám. </w:t>
      </w:r>
    </w:p>
    <w:p w:rsidR="008006F8" w:rsidRPr="00882E81" w:rsidRDefault="008006F8" w:rsidP="00882E81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B37D5B">
        <w:rPr>
          <w:rFonts w:asciiTheme="minorHAnsi" w:hAnsiTheme="minorHAnsi"/>
          <w:sz w:val="22"/>
          <w:szCs w:val="22"/>
        </w:rPr>
        <w:t>Používání osobních údajů pouze v souladu s pokyny kompetentní osoby nebo v souladu s obecně stanovenými pravidly.</w:t>
      </w:r>
    </w:p>
    <w:p w:rsidR="008006F8" w:rsidRPr="00B37D5B" w:rsidRDefault="008006F8" w:rsidP="00882E81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i/>
          <w:sz w:val="22"/>
          <w:szCs w:val="22"/>
        </w:rPr>
      </w:pPr>
      <w:r w:rsidRPr="00B37D5B">
        <w:rPr>
          <w:rFonts w:asciiTheme="minorHAnsi" w:hAnsiTheme="minorHAnsi"/>
          <w:i/>
          <w:sz w:val="22"/>
          <w:szCs w:val="22"/>
        </w:rPr>
        <w:t xml:space="preserve">Poradci ani jiné osoby nesmějí OÚ klientů po uložení do CEEK dále zpracovávat a nijak využívat. Po jejich získání je pouze archivují pro potřeby MPO. </w:t>
      </w:r>
    </w:p>
    <w:p w:rsidR="008006F8" w:rsidRPr="009B0329" w:rsidRDefault="008006F8" w:rsidP="009B0329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B37D5B">
        <w:rPr>
          <w:rFonts w:asciiTheme="minorHAnsi" w:hAnsiTheme="minorHAnsi"/>
          <w:i/>
          <w:sz w:val="22"/>
          <w:szCs w:val="22"/>
        </w:rPr>
        <w:lastRenderedPageBreak/>
        <w:t>Poradci a jiné osoby s přístup</w:t>
      </w:r>
      <w:r>
        <w:rPr>
          <w:rFonts w:asciiTheme="minorHAnsi" w:hAnsiTheme="minorHAnsi"/>
          <w:i/>
          <w:sz w:val="22"/>
          <w:szCs w:val="22"/>
        </w:rPr>
        <w:t>ovým právem</w:t>
      </w:r>
      <w:r w:rsidRPr="00B37D5B">
        <w:rPr>
          <w:rFonts w:asciiTheme="minorHAnsi" w:hAnsiTheme="minorHAnsi"/>
          <w:i/>
          <w:sz w:val="22"/>
          <w:szCs w:val="22"/>
        </w:rPr>
        <w:t xml:space="preserve"> k OÚ zabezpečí, aby nikdo další neměl přístup k</w:t>
      </w:r>
      <w:r>
        <w:rPr>
          <w:rFonts w:asciiTheme="minorHAnsi" w:hAnsiTheme="minorHAnsi"/>
          <w:i/>
          <w:sz w:val="22"/>
          <w:szCs w:val="22"/>
        </w:rPr>
        <w:t> </w:t>
      </w:r>
      <w:r w:rsidRPr="00B37D5B">
        <w:rPr>
          <w:rFonts w:asciiTheme="minorHAnsi" w:hAnsiTheme="minorHAnsi"/>
          <w:i/>
          <w:sz w:val="22"/>
          <w:szCs w:val="22"/>
        </w:rPr>
        <w:t>uloženým EL ani přístup do CEEK.</w:t>
      </w:r>
    </w:p>
    <w:p w:rsidR="008006F8" w:rsidRPr="00B37D5B" w:rsidRDefault="008006F8" w:rsidP="009B0329">
      <w:pPr>
        <w:pStyle w:val="Default"/>
        <w:numPr>
          <w:ilvl w:val="0"/>
          <w:numId w:val="27"/>
        </w:numPr>
        <w:spacing w:after="120"/>
        <w:rPr>
          <w:rFonts w:asciiTheme="minorHAnsi" w:hAnsiTheme="minorHAnsi"/>
          <w:sz w:val="22"/>
          <w:szCs w:val="22"/>
        </w:rPr>
      </w:pPr>
      <w:r w:rsidRPr="00B37D5B">
        <w:rPr>
          <w:rFonts w:asciiTheme="minorHAnsi" w:hAnsiTheme="minorHAnsi"/>
          <w:sz w:val="22"/>
          <w:szCs w:val="22"/>
        </w:rPr>
        <w:t>Zajištění pravidel oprávněnosti přístupu k osobním údajům a zave</w:t>
      </w:r>
      <w:r w:rsidRPr="00B37D5B">
        <w:rPr>
          <w:rFonts w:asciiTheme="minorHAnsi" w:hAnsiTheme="minorHAnsi"/>
          <w:sz w:val="22"/>
          <w:szCs w:val="22"/>
        </w:rPr>
        <w:softHyphen/>
        <w:t xml:space="preserve">dení dokumentace o přístupu. </w:t>
      </w:r>
    </w:p>
    <w:p w:rsidR="008006F8" w:rsidRPr="00B37D5B" w:rsidRDefault="008006F8" w:rsidP="002A354C">
      <w:pPr>
        <w:pStyle w:val="Default"/>
        <w:spacing w:after="120"/>
        <w:ind w:left="1080"/>
        <w:rPr>
          <w:rFonts w:asciiTheme="minorHAnsi" w:hAnsiTheme="minorHAnsi"/>
          <w:i/>
          <w:sz w:val="22"/>
          <w:szCs w:val="22"/>
        </w:rPr>
      </w:pPr>
      <w:r w:rsidRPr="00B37D5B">
        <w:rPr>
          <w:rFonts w:asciiTheme="minorHAnsi" w:hAnsiTheme="minorHAnsi"/>
          <w:i/>
          <w:sz w:val="22"/>
          <w:szCs w:val="22"/>
        </w:rPr>
        <w:t xml:space="preserve">Příjemce dotace vede evidenci o mimořádném přístupu </w:t>
      </w:r>
      <w:r>
        <w:rPr>
          <w:rFonts w:asciiTheme="minorHAnsi" w:hAnsiTheme="minorHAnsi"/>
          <w:i/>
          <w:sz w:val="22"/>
          <w:szCs w:val="22"/>
        </w:rPr>
        <w:t xml:space="preserve">jiných osob </w:t>
      </w:r>
      <w:r w:rsidRPr="00B37D5B">
        <w:rPr>
          <w:rFonts w:asciiTheme="minorHAnsi" w:hAnsiTheme="minorHAnsi"/>
          <w:i/>
          <w:sz w:val="22"/>
          <w:szCs w:val="22"/>
        </w:rPr>
        <w:t xml:space="preserve">do místa uložení OÚ - kdo, kdy a proč měl k OÚ přístup. Např. IT podpora, manipulace s EL při stěhování apod. </w:t>
      </w:r>
    </w:p>
    <w:p w:rsidR="008006F8" w:rsidRPr="00B37D5B" w:rsidRDefault="008006F8" w:rsidP="009B0329">
      <w:pPr>
        <w:pStyle w:val="Pa13"/>
        <w:numPr>
          <w:ilvl w:val="0"/>
          <w:numId w:val="27"/>
        </w:numPr>
        <w:spacing w:after="120"/>
        <w:jc w:val="both"/>
        <w:rPr>
          <w:rFonts w:asciiTheme="minorHAnsi" w:hAnsiTheme="minorHAnsi" w:cs="DaxlinePro"/>
          <w:color w:val="000000"/>
          <w:sz w:val="22"/>
          <w:szCs w:val="22"/>
        </w:rPr>
      </w:pPr>
      <w:r w:rsidRPr="00B37D5B">
        <w:rPr>
          <w:rFonts w:asciiTheme="minorHAnsi" w:hAnsiTheme="minorHAnsi" w:cs="DaxlinePro"/>
          <w:color w:val="000000"/>
          <w:sz w:val="22"/>
          <w:szCs w:val="22"/>
        </w:rPr>
        <w:t>Důležitým prvkem účinných bezpečnostních opatření je rovněž poskytnout zaměst</w:t>
      </w:r>
      <w:r w:rsidRPr="00B37D5B">
        <w:rPr>
          <w:rFonts w:asciiTheme="minorHAnsi" w:hAnsiTheme="minorHAnsi" w:cs="DaxlinePro"/>
          <w:color w:val="000000"/>
          <w:sz w:val="22"/>
          <w:szCs w:val="22"/>
        </w:rPr>
        <w:softHyphen/>
        <w:t>nancům vhodné školení a vzdělání ohledně zabezpečení údajů. Musí být též zave</w:t>
      </w:r>
      <w:r w:rsidRPr="00B37D5B">
        <w:rPr>
          <w:rFonts w:asciiTheme="minorHAnsi" w:hAnsiTheme="minorHAnsi" w:cs="DaxlinePro"/>
          <w:color w:val="000000"/>
          <w:sz w:val="22"/>
          <w:szCs w:val="22"/>
        </w:rPr>
        <w:softHyphen/>
        <w:t xml:space="preserve">deny </w:t>
      </w:r>
      <w:r w:rsidRPr="00B37D5B">
        <w:rPr>
          <w:rFonts w:asciiTheme="minorHAnsi" w:hAnsiTheme="minorHAnsi" w:cs="DaxlinePro"/>
          <w:color w:val="000000"/>
          <w:sz w:val="22"/>
          <w:szCs w:val="22"/>
          <w:u w:val="single"/>
        </w:rPr>
        <w:t>kontrolní postupy</w:t>
      </w:r>
      <w:r w:rsidRPr="00B37D5B">
        <w:rPr>
          <w:rFonts w:asciiTheme="minorHAnsi" w:hAnsiTheme="minorHAnsi" w:cs="DaxlinePro"/>
          <w:color w:val="000000"/>
          <w:sz w:val="22"/>
          <w:szCs w:val="22"/>
        </w:rPr>
        <w:t>, aby bylo zajištěno, že vhodná opatření neexistují pouze na papíře, ale jsou prováděna a fungují v</w:t>
      </w:r>
      <w:r>
        <w:rPr>
          <w:rFonts w:asciiTheme="minorHAnsi" w:hAnsiTheme="minorHAnsi" w:cs="DaxlinePro"/>
          <w:color w:val="000000"/>
          <w:sz w:val="22"/>
          <w:szCs w:val="22"/>
        </w:rPr>
        <w:t> </w:t>
      </w:r>
      <w:r w:rsidRPr="00B37D5B">
        <w:rPr>
          <w:rFonts w:asciiTheme="minorHAnsi" w:hAnsiTheme="minorHAnsi" w:cs="DaxlinePro"/>
          <w:color w:val="000000"/>
          <w:sz w:val="22"/>
          <w:szCs w:val="22"/>
        </w:rPr>
        <w:t xml:space="preserve">praxi (např. interní nebo externí audity). </w:t>
      </w:r>
    </w:p>
    <w:p w:rsidR="008006F8" w:rsidRDefault="008006F8" w:rsidP="002A354C">
      <w:pPr>
        <w:pStyle w:val="Default"/>
        <w:spacing w:after="120"/>
        <w:ind w:left="1080"/>
        <w:rPr>
          <w:rFonts w:asciiTheme="minorHAnsi" w:hAnsiTheme="minorHAnsi"/>
          <w:i/>
          <w:sz w:val="22"/>
          <w:szCs w:val="22"/>
        </w:rPr>
      </w:pPr>
      <w:r w:rsidRPr="007124EB">
        <w:rPr>
          <w:rFonts w:asciiTheme="minorHAnsi" w:hAnsiTheme="minorHAnsi"/>
          <w:i/>
          <w:sz w:val="22"/>
          <w:szCs w:val="22"/>
        </w:rPr>
        <w:t xml:space="preserve">V přiměřeném rozsahu </w:t>
      </w:r>
      <w:r>
        <w:rPr>
          <w:rFonts w:asciiTheme="minorHAnsi" w:hAnsiTheme="minorHAnsi"/>
          <w:i/>
          <w:sz w:val="22"/>
          <w:szCs w:val="22"/>
        </w:rPr>
        <w:t>provádět namátkovou kontrolu bezpečného uložení EL a možnosti neoprávněného získání přístupových hesel do CEEK apod.</w:t>
      </w:r>
    </w:p>
    <w:p w:rsidR="008006F8" w:rsidRDefault="008006F8" w:rsidP="002A354C">
      <w:pPr>
        <w:pStyle w:val="Default"/>
        <w:numPr>
          <w:ilvl w:val="0"/>
          <w:numId w:val="26"/>
        </w:numPr>
        <w:spacing w:after="120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Ochrana OÚ uvedených na evidenčních listech osobních konzultací</w:t>
      </w:r>
      <w:r>
        <w:rPr>
          <w:rFonts w:asciiTheme="minorHAnsi" w:hAnsiTheme="minorHAnsi"/>
          <w:color w:val="auto"/>
          <w:sz w:val="22"/>
          <w:szCs w:val="22"/>
        </w:rPr>
        <w:t xml:space="preserve"> (EL)</w:t>
      </w:r>
    </w:p>
    <w:p w:rsidR="008006F8" w:rsidRDefault="008006F8" w:rsidP="002A354C">
      <w:pPr>
        <w:pStyle w:val="Default"/>
        <w:numPr>
          <w:ilvl w:val="0"/>
          <w:numId w:val="20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9E7A90">
        <w:rPr>
          <w:rFonts w:asciiTheme="minorHAnsi" w:hAnsiTheme="minorHAnsi"/>
          <w:i/>
          <w:sz w:val="22"/>
          <w:szCs w:val="22"/>
        </w:rPr>
        <w:t>Poradci postupují vždy podle Podmínek a pravidel přidělení dotace. Osobní konzultace tedy poskytují vždy pouze tak, aby mohli OÚ klienta bezprostředně zanést do CEEK a aby je nezapisovali kamkoli jinam s úmyslem zanést je do CEEK později.</w:t>
      </w:r>
    </w:p>
    <w:p w:rsidR="008006F8" w:rsidRDefault="008006F8" w:rsidP="002A354C">
      <w:pPr>
        <w:pStyle w:val="Default"/>
        <w:numPr>
          <w:ilvl w:val="0"/>
          <w:numId w:val="20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9E7A90">
        <w:rPr>
          <w:rFonts w:asciiTheme="minorHAnsi" w:hAnsiTheme="minorHAnsi"/>
          <w:i/>
          <w:sz w:val="22"/>
          <w:szCs w:val="22"/>
        </w:rPr>
        <w:t>EL vytištěný z CEEK poradci bezodkladně uloží na místo k tomu určené a dle těchto pokynů zabezpečené.</w:t>
      </w:r>
    </w:p>
    <w:p w:rsidR="008006F8" w:rsidRDefault="008006F8" w:rsidP="002A354C">
      <w:pPr>
        <w:pStyle w:val="Default"/>
        <w:numPr>
          <w:ilvl w:val="0"/>
          <w:numId w:val="20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9E7A90">
        <w:rPr>
          <w:rFonts w:asciiTheme="minorHAnsi" w:hAnsiTheme="minorHAnsi"/>
          <w:i/>
          <w:sz w:val="22"/>
          <w:szCs w:val="22"/>
        </w:rPr>
        <w:t>Archiv EL je veden na jednom místě (tedy nikoli u jednotlivých poradců na různých místech), které je v</w:t>
      </w:r>
      <w:r>
        <w:rPr>
          <w:rFonts w:asciiTheme="minorHAnsi" w:hAnsiTheme="minorHAnsi"/>
          <w:i/>
          <w:sz w:val="22"/>
          <w:szCs w:val="22"/>
        </w:rPr>
        <w:t> </w:t>
      </w:r>
      <w:r w:rsidRPr="009E7A90">
        <w:rPr>
          <w:rFonts w:asciiTheme="minorHAnsi" w:hAnsiTheme="minorHAnsi"/>
          <w:i/>
          <w:sz w:val="22"/>
          <w:szCs w:val="22"/>
        </w:rPr>
        <w:t>uzamčené skříni, trezoru apod. a při nepřítomnosti poradců v uzamčené místnosti!!!</w:t>
      </w:r>
      <w:r>
        <w:rPr>
          <w:rFonts w:asciiTheme="minorHAnsi" w:hAnsiTheme="minorHAnsi"/>
          <w:i/>
          <w:sz w:val="22"/>
          <w:szCs w:val="22"/>
        </w:rPr>
        <w:t xml:space="preserve"> Klíče od skříně i od místnosti musí být uloženy tak, aby nemohly být zneužity.</w:t>
      </w:r>
    </w:p>
    <w:p w:rsidR="008006F8" w:rsidRDefault="008006F8" w:rsidP="002A354C">
      <w:pPr>
        <w:pStyle w:val="Default"/>
        <w:numPr>
          <w:ilvl w:val="0"/>
          <w:numId w:val="20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9E7A90">
        <w:rPr>
          <w:rFonts w:asciiTheme="minorHAnsi" w:hAnsiTheme="minorHAnsi"/>
          <w:i/>
          <w:sz w:val="22"/>
          <w:szCs w:val="22"/>
        </w:rPr>
        <w:t>Archiv EL je veden výše uvedeným způsobem po dobu 5 let. Poté budou EL odborně skartovány a</w:t>
      </w:r>
      <w:r>
        <w:rPr>
          <w:rFonts w:asciiTheme="minorHAnsi" w:hAnsiTheme="minorHAnsi"/>
          <w:i/>
          <w:sz w:val="22"/>
          <w:szCs w:val="22"/>
        </w:rPr>
        <w:t> </w:t>
      </w:r>
      <w:r w:rsidRPr="009E7A90">
        <w:rPr>
          <w:rFonts w:asciiTheme="minorHAnsi" w:hAnsiTheme="minorHAnsi"/>
          <w:i/>
          <w:sz w:val="22"/>
          <w:szCs w:val="22"/>
        </w:rPr>
        <w:t>doklad o skartaci (včetně určení typu skartovaných dokumentů=EL) s číslem dotace bude uložen spolu s ostatními doklady o dotaci po dobu 10 let (podle platné legislativy). Pokud si MPO vyžádá během 5 let po ukončení dotace EL a příjemce dotace je včetně jejich soupisu na MPO odevzdá, nahrazuje tento akt povinnost zajistit odbornou skartaci EL.</w:t>
      </w:r>
    </w:p>
    <w:p w:rsidR="008006F8" w:rsidRPr="002A354C" w:rsidRDefault="008006F8" w:rsidP="002A354C">
      <w:pPr>
        <w:pStyle w:val="Default"/>
        <w:numPr>
          <w:ilvl w:val="0"/>
          <w:numId w:val="2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350509">
        <w:rPr>
          <w:rFonts w:asciiTheme="minorHAnsi" w:hAnsiTheme="minorHAnsi"/>
          <w:color w:val="auto"/>
          <w:sz w:val="22"/>
          <w:szCs w:val="22"/>
        </w:rPr>
        <w:t>Ochrana OÚ shromážděných v centrální elektronické evidenci konzultací (CEEK)</w:t>
      </w:r>
    </w:p>
    <w:p w:rsidR="008006F8" w:rsidRPr="002A354C" w:rsidRDefault="008006F8" w:rsidP="002A354C">
      <w:pPr>
        <w:pStyle w:val="Default"/>
        <w:numPr>
          <w:ilvl w:val="0"/>
          <w:numId w:val="25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2A354C">
        <w:rPr>
          <w:rFonts w:asciiTheme="minorHAnsi" w:hAnsiTheme="minorHAnsi"/>
          <w:i/>
          <w:sz w:val="22"/>
          <w:szCs w:val="22"/>
        </w:rPr>
        <w:t>Poradci nesmějí nikomu dalšímu sdělovat své přístupové údaje do CEEK.</w:t>
      </w:r>
    </w:p>
    <w:p w:rsidR="008006F8" w:rsidRPr="00554326" w:rsidRDefault="008006F8" w:rsidP="00554326">
      <w:pPr>
        <w:pStyle w:val="Default"/>
        <w:numPr>
          <w:ilvl w:val="0"/>
          <w:numId w:val="25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2A354C">
        <w:rPr>
          <w:rFonts w:asciiTheme="minorHAnsi" w:hAnsiTheme="minorHAnsi"/>
          <w:i/>
          <w:sz w:val="22"/>
          <w:szCs w:val="22"/>
        </w:rPr>
        <w:t>Po ukončení práce v CEEK se vždy poradci odhlásí, zejména pokud použili HW přístupný i dalším osobám či veřejně přístupný.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2A354C">
        <w:rPr>
          <w:rFonts w:asciiTheme="minorHAnsi" w:hAnsiTheme="minorHAnsi"/>
          <w:i/>
          <w:sz w:val="22"/>
          <w:szCs w:val="22"/>
        </w:rPr>
        <w:t>Obecně – je nezbytné dodržovat pravidla bezpečného pohybu na síti.</w:t>
      </w:r>
    </w:p>
    <w:p w:rsidR="008006F8" w:rsidRPr="002A354C" w:rsidRDefault="008006F8" w:rsidP="002A354C">
      <w:pPr>
        <w:pStyle w:val="Default"/>
        <w:numPr>
          <w:ilvl w:val="0"/>
          <w:numId w:val="25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Příjemce dotace neprodleně informuje MPO o ukončení spolupráce s poradcem a požádá o zrušení přístupu poradce do CEEK. Zároveň zamezí přístupu takového poradce/jiné osoby do archivu EL. </w:t>
      </w:r>
    </w:p>
    <w:p w:rsidR="008006F8" w:rsidRDefault="008006F8" w:rsidP="002A354C">
      <w:pPr>
        <w:pStyle w:val="Default"/>
        <w:numPr>
          <w:ilvl w:val="0"/>
          <w:numId w:val="25"/>
        </w:numPr>
        <w:spacing w:after="120"/>
        <w:ind w:left="567" w:hanging="283"/>
        <w:rPr>
          <w:rFonts w:asciiTheme="minorHAnsi" w:hAnsiTheme="minorHAnsi"/>
          <w:i/>
          <w:sz w:val="22"/>
          <w:szCs w:val="22"/>
        </w:rPr>
      </w:pPr>
      <w:r w:rsidRPr="002A354C">
        <w:rPr>
          <w:rFonts w:asciiTheme="minorHAnsi" w:hAnsiTheme="minorHAnsi"/>
          <w:i/>
          <w:sz w:val="22"/>
          <w:szCs w:val="22"/>
        </w:rPr>
        <w:t>Při zákroku IT podpory příjemce dotace zajistí, aby přístupové údaje do CEEK nebyly zneužity.</w:t>
      </w:r>
    </w:p>
    <w:p w:rsidR="008006F8" w:rsidRPr="002A354C" w:rsidRDefault="008006F8" w:rsidP="00F0273A">
      <w:pPr>
        <w:pStyle w:val="Default"/>
        <w:spacing w:after="120"/>
        <w:ind w:left="567"/>
        <w:rPr>
          <w:rFonts w:asciiTheme="minorHAnsi" w:hAnsiTheme="minorHAnsi"/>
          <w:i/>
          <w:sz w:val="22"/>
          <w:szCs w:val="22"/>
        </w:rPr>
      </w:pPr>
    </w:p>
    <w:p w:rsidR="008006F8" w:rsidRPr="00FA5112" w:rsidRDefault="008006F8" w:rsidP="002A354C">
      <w:pPr>
        <w:pStyle w:val="Pa27"/>
        <w:spacing w:after="120"/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</w:pPr>
      <w:r w:rsidRPr="00554326"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 xml:space="preserve">Příjemce dotace seznámí s těmito </w:t>
      </w:r>
      <w:r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>opatřeními</w:t>
      </w:r>
      <w:r w:rsidRPr="00554326"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 xml:space="preserve"> osoby s přístupovým právem k OÚ a vyvěsí je na viditelném místě. </w:t>
      </w:r>
      <w:r w:rsidRPr="00FA5112"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>Příjemce dotace je zodpovědný za dodržování uvedených opatření a tímto čestně prohlašuje, že</w:t>
      </w:r>
      <w:r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> zajistí jejich provedení a</w:t>
      </w:r>
      <w:r w:rsidRPr="00FA5112"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 xml:space="preserve"> dodržov</w:t>
      </w:r>
      <w:r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>ání</w:t>
      </w:r>
      <w:r w:rsidRPr="00FA5112">
        <w:rPr>
          <w:rFonts w:asciiTheme="minorHAnsi" w:hAnsiTheme="minorHAnsi" w:cs="DaxlinePro"/>
          <w:b/>
          <w:bCs/>
          <w:color w:val="000000"/>
          <w:sz w:val="22"/>
          <w:szCs w:val="22"/>
          <w:u w:val="single"/>
        </w:rPr>
        <w:t>.</w:t>
      </w:r>
    </w:p>
    <w:p w:rsidR="008006F8" w:rsidRPr="00C9583C" w:rsidRDefault="008006F8" w:rsidP="00C9583C">
      <w:pPr>
        <w:pStyle w:val="Default"/>
      </w:pPr>
    </w:p>
    <w:p w:rsidR="005D6B26" w:rsidRPr="005D6B26" w:rsidRDefault="008006F8" w:rsidP="005D6B26">
      <w:pPr>
        <w:pStyle w:val="Default"/>
        <w:rPr>
          <w:rFonts w:asciiTheme="minorHAnsi" w:hAnsiTheme="minorHAnsi"/>
          <w:sz w:val="28"/>
          <w:szCs w:val="28"/>
        </w:rPr>
      </w:pPr>
      <w:r w:rsidRPr="005D6B26">
        <w:rPr>
          <w:rFonts w:asciiTheme="minorHAnsi" w:hAnsiTheme="minorHAnsi"/>
          <w:b/>
          <w:sz w:val="28"/>
          <w:szCs w:val="28"/>
        </w:rPr>
        <w:t xml:space="preserve">EKIS č. </w:t>
      </w:r>
      <w:proofErr w:type="gramStart"/>
      <w:r w:rsidR="005D6B26" w:rsidRPr="005D6B26">
        <w:rPr>
          <w:rFonts w:asciiTheme="minorHAnsi" w:hAnsiTheme="minorHAnsi"/>
          <w:b/>
          <w:sz w:val="28"/>
          <w:szCs w:val="28"/>
        </w:rPr>
        <w:t>…..…</w:t>
      </w:r>
      <w:proofErr w:type="gramEnd"/>
      <w:r w:rsidR="005D6B26" w:rsidRPr="005D6B26">
        <w:rPr>
          <w:rFonts w:asciiTheme="minorHAnsi" w:hAnsiTheme="minorHAnsi"/>
          <w:b/>
          <w:sz w:val="28"/>
          <w:szCs w:val="28"/>
        </w:rPr>
        <w:t>…</w:t>
      </w:r>
      <w:r w:rsidR="005D6B26" w:rsidRPr="005D6B26">
        <w:rPr>
          <w:b/>
          <w:noProof/>
          <w:sz w:val="28"/>
          <w:szCs w:val="28"/>
        </w:rPr>
        <w:t xml:space="preserve">     </w:t>
      </w:r>
      <w:r w:rsidR="005D6B26">
        <w:rPr>
          <w:b/>
          <w:noProof/>
          <w:sz w:val="28"/>
          <w:szCs w:val="28"/>
        </w:rPr>
        <w:t xml:space="preserve"> </w:t>
      </w:r>
      <w:r w:rsidR="005D6B26" w:rsidRPr="005D6B26">
        <w:rPr>
          <w:b/>
          <w:noProof/>
          <w:sz w:val="28"/>
          <w:szCs w:val="28"/>
        </w:rPr>
        <w:t xml:space="preserve">rok </w:t>
      </w:r>
      <w:r w:rsidR="00252EF1">
        <w:rPr>
          <w:b/>
          <w:noProof/>
          <w:sz w:val="28"/>
          <w:szCs w:val="28"/>
        </w:rPr>
        <w:t>………..</w:t>
      </w:r>
      <w:r w:rsidR="005D6B26" w:rsidRPr="005D6B26">
        <w:rPr>
          <w:b/>
          <w:noProof/>
          <w:sz w:val="28"/>
          <w:szCs w:val="28"/>
        </w:rPr>
        <w:t xml:space="preserve">      </w:t>
      </w:r>
      <w:r w:rsidR="005D6B26" w:rsidRPr="005D6B26">
        <w:rPr>
          <w:rFonts w:asciiTheme="minorHAnsi" w:hAnsiTheme="minorHAnsi"/>
          <w:b/>
          <w:sz w:val="28"/>
          <w:szCs w:val="28"/>
        </w:rPr>
        <w:t>IČO</w:t>
      </w:r>
      <w:r w:rsidR="005D6B26" w:rsidRPr="005D6B26">
        <w:rPr>
          <w:rFonts w:asciiTheme="minorHAnsi" w:hAnsiTheme="minorHAnsi"/>
          <w:b/>
          <w:sz w:val="28"/>
          <w:szCs w:val="28"/>
        </w:rPr>
        <w:t>……………………….</w:t>
      </w:r>
    </w:p>
    <w:p w:rsidR="005D6B26" w:rsidRPr="005D6B26" w:rsidRDefault="005D6B26" w:rsidP="005D6B26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8006F8" w:rsidRPr="005D6B26" w:rsidRDefault="005D6B26" w:rsidP="00C9583C">
      <w:pPr>
        <w:pStyle w:val="Default"/>
        <w:rPr>
          <w:rFonts w:asciiTheme="minorHAnsi" w:hAnsiTheme="minorHAnsi"/>
          <w:sz w:val="28"/>
          <w:szCs w:val="28"/>
        </w:rPr>
      </w:pPr>
      <w:r w:rsidRPr="005D6B26">
        <w:rPr>
          <w:rFonts w:asciiTheme="minorHAnsi" w:hAnsiTheme="minorHAnsi"/>
          <w:b/>
          <w:sz w:val="28"/>
          <w:szCs w:val="28"/>
        </w:rPr>
        <w:t>název příjemce d</w:t>
      </w:r>
      <w:bookmarkStart w:id="0" w:name="_GoBack"/>
      <w:bookmarkEnd w:id="0"/>
      <w:r w:rsidRPr="005D6B26">
        <w:rPr>
          <w:rFonts w:asciiTheme="minorHAnsi" w:hAnsiTheme="minorHAnsi"/>
          <w:b/>
          <w:sz w:val="28"/>
          <w:szCs w:val="28"/>
        </w:rPr>
        <w:t>otace (firma)……………………………………</w:t>
      </w:r>
      <w:r>
        <w:rPr>
          <w:rFonts w:asciiTheme="minorHAnsi" w:hAnsiTheme="minorHAnsi"/>
          <w:b/>
          <w:sz w:val="28"/>
          <w:szCs w:val="28"/>
        </w:rPr>
        <w:t>………………</w:t>
      </w:r>
      <w:r w:rsidRPr="005D6B26">
        <w:rPr>
          <w:rFonts w:asciiTheme="minorHAnsi" w:hAnsiTheme="minorHAnsi"/>
          <w:b/>
          <w:sz w:val="28"/>
          <w:szCs w:val="28"/>
        </w:rPr>
        <w:t xml:space="preserve">………………………. </w:t>
      </w:r>
    </w:p>
    <w:p w:rsidR="00882E81" w:rsidRDefault="00882E81" w:rsidP="00C9583C">
      <w:pPr>
        <w:pStyle w:val="Default"/>
        <w:rPr>
          <w:rFonts w:asciiTheme="minorHAnsi" w:hAnsiTheme="minorHAnsi"/>
          <w:sz w:val="22"/>
          <w:szCs w:val="22"/>
        </w:rPr>
      </w:pPr>
    </w:p>
    <w:p w:rsidR="00882E81" w:rsidRDefault="00882E81" w:rsidP="00C9583C">
      <w:pPr>
        <w:pStyle w:val="Default"/>
        <w:rPr>
          <w:rFonts w:asciiTheme="minorHAnsi" w:hAnsiTheme="minorHAnsi"/>
          <w:sz w:val="22"/>
          <w:szCs w:val="22"/>
        </w:rPr>
      </w:pPr>
    </w:p>
    <w:p w:rsidR="005D6B26" w:rsidRDefault="005D6B26" w:rsidP="00C9583C">
      <w:pPr>
        <w:pStyle w:val="Default"/>
        <w:rPr>
          <w:rFonts w:asciiTheme="minorHAnsi" w:hAnsiTheme="minorHAnsi"/>
          <w:sz w:val="22"/>
          <w:szCs w:val="22"/>
        </w:rPr>
      </w:pPr>
    </w:p>
    <w:p w:rsidR="008006F8" w:rsidRDefault="008006F8" w:rsidP="00AB1AD0">
      <w:pPr>
        <w:pStyle w:val="Default"/>
        <w:rPr>
          <w:rFonts w:asciiTheme="minorHAnsi" w:hAnsiTheme="minorHAnsi"/>
          <w:sz w:val="22"/>
          <w:szCs w:val="22"/>
        </w:rPr>
      </w:pPr>
      <w:r w:rsidRPr="00C9583C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………..</w:t>
      </w:r>
      <w:r w:rsidRPr="00C9583C">
        <w:rPr>
          <w:rFonts w:asciiTheme="minorHAnsi" w:hAnsiTheme="minorHAnsi"/>
          <w:sz w:val="22"/>
          <w:szCs w:val="22"/>
        </w:rPr>
        <w:t>……</w:t>
      </w:r>
      <w:r w:rsidR="00882E81">
        <w:rPr>
          <w:rFonts w:asciiTheme="minorHAnsi" w:hAnsiTheme="minorHAnsi"/>
          <w:sz w:val="22"/>
          <w:szCs w:val="22"/>
        </w:rPr>
        <w:tab/>
      </w:r>
      <w:r w:rsidR="00882E81">
        <w:rPr>
          <w:rFonts w:asciiTheme="minorHAnsi" w:hAnsiTheme="minorHAnsi"/>
          <w:sz w:val="22"/>
          <w:szCs w:val="22"/>
        </w:rPr>
        <w:tab/>
      </w:r>
      <w:r w:rsidRPr="00C9583C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</w:t>
      </w:r>
      <w:r w:rsidR="00882E81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882E81" w:rsidRPr="00C40E44" w:rsidRDefault="00882E81" w:rsidP="00AB1AD0">
      <w:pPr>
        <w:pStyle w:val="Default"/>
        <w:rPr>
          <w:rFonts w:asciiTheme="minorHAnsi" w:hAnsiTheme="minorHAnsi"/>
          <w:sz w:val="22"/>
          <w:szCs w:val="22"/>
        </w:rPr>
        <w:sectPr w:rsidR="00882E81" w:rsidRPr="00C40E44" w:rsidSect="008006F8">
          <w:pgSz w:w="11906" w:h="16838"/>
          <w:pgMar w:top="993" w:right="1133" w:bottom="851" w:left="1276" w:header="708" w:footer="708" w:gutter="0"/>
          <w:pgNumType w:start="1"/>
          <w:cols w:space="708"/>
        </w:sectPr>
      </w:pPr>
      <w:r>
        <w:rPr>
          <w:rFonts w:asciiTheme="minorHAnsi" w:hAnsiTheme="minorHAnsi"/>
          <w:sz w:val="22"/>
          <w:szCs w:val="22"/>
        </w:rPr>
        <w:t xml:space="preserve">Datum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9583C">
        <w:rPr>
          <w:rFonts w:asciiTheme="minorHAnsi" w:hAnsiTheme="minorHAnsi"/>
          <w:sz w:val="22"/>
          <w:szCs w:val="22"/>
        </w:rPr>
        <w:t>Statut</w:t>
      </w:r>
      <w:r>
        <w:rPr>
          <w:rFonts w:asciiTheme="minorHAnsi" w:hAnsiTheme="minorHAnsi"/>
          <w:sz w:val="22"/>
          <w:szCs w:val="22"/>
        </w:rPr>
        <w:t>.</w:t>
      </w:r>
      <w:r w:rsidRPr="00C9583C">
        <w:rPr>
          <w:rFonts w:asciiTheme="minorHAnsi" w:hAnsiTheme="minorHAnsi"/>
          <w:sz w:val="22"/>
          <w:szCs w:val="22"/>
        </w:rPr>
        <w:t xml:space="preserve"> orgán</w:t>
      </w:r>
      <w:r>
        <w:rPr>
          <w:rFonts w:asciiTheme="minorHAnsi" w:hAnsiTheme="minorHAnsi"/>
          <w:sz w:val="22"/>
          <w:szCs w:val="22"/>
        </w:rPr>
        <w:t xml:space="preserve"> </w:t>
      </w:r>
      <w:r w:rsidRPr="00C9583C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C9583C">
        <w:rPr>
          <w:rFonts w:asciiTheme="minorHAnsi" w:hAnsiTheme="minorHAnsi"/>
          <w:sz w:val="22"/>
          <w:szCs w:val="22"/>
        </w:rPr>
        <w:t>jméno</w:t>
      </w:r>
      <w:r>
        <w:rPr>
          <w:rFonts w:asciiTheme="minorHAnsi" w:hAnsiTheme="minorHAnsi"/>
          <w:sz w:val="22"/>
          <w:szCs w:val="22"/>
        </w:rPr>
        <w:t>,</w:t>
      </w:r>
      <w:r w:rsidRPr="00C9583C">
        <w:rPr>
          <w:rFonts w:asciiTheme="minorHAnsi" w:hAnsiTheme="minorHAnsi"/>
          <w:sz w:val="22"/>
          <w:szCs w:val="22"/>
        </w:rPr>
        <w:t xml:space="preserve"> funkce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podpIs</w:t>
      </w:r>
      <w:proofErr w:type="spellEnd"/>
    </w:p>
    <w:p w:rsidR="008006F8" w:rsidRDefault="008006F8" w:rsidP="00882E81">
      <w:pPr>
        <w:pStyle w:val="Default"/>
        <w:rPr>
          <w:b/>
        </w:rPr>
      </w:pPr>
    </w:p>
    <w:sectPr w:rsidR="008006F8" w:rsidSect="008006F8">
      <w:type w:val="continuous"/>
      <w:pgSz w:w="11906" w:h="16838"/>
      <w:pgMar w:top="993" w:right="1133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xline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9FE8D2E2"/>
    <w:multiLevelType w:val="hybridMultilevel"/>
    <w:tmpl w:val="8EA992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A4294B88"/>
    <w:multiLevelType w:val="hybridMultilevel"/>
    <w:tmpl w:val="E11822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1">
    <w:nsid w:val="D3229DF1"/>
    <w:multiLevelType w:val="hybridMultilevel"/>
    <w:tmpl w:val="88E13B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1">
    <w:nsid w:val="DE925EFF"/>
    <w:multiLevelType w:val="hybridMultilevel"/>
    <w:tmpl w:val="8EA432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1">
    <w:nsid w:val="E4A0CCC5"/>
    <w:multiLevelType w:val="hybridMultilevel"/>
    <w:tmpl w:val="F4BB2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1">
    <w:nsid w:val="F00C751B"/>
    <w:multiLevelType w:val="hybridMultilevel"/>
    <w:tmpl w:val="C03B47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1">
    <w:nsid w:val="FD8AFA2A"/>
    <w:multiLevelType w:val="hybridMultilevel"/>
    <w:tmpl w:val="4A1B0D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1">
    <w:nsid w:val="10537F13"/>
    <w:multiLevelType w:val="hybridMultilevel"/>
    <w:tmpl w:val="F8AA1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16203EA"/>
    <w:multiLevelType w:val="hybridMultilevel"/>
    <w:tmpl w:val="D884E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7D27E39"/>
    <w:multiLevelType w:val="hybridMultilevel"/>
    <w:tmpl w:val="1F3FED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1">
    <w:nsid w:val="2A2E9C2C"/>
    <w:multiLevelType w:val="hybridMultilevel"/>
    <w:tmpl w:val="3DB45C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1">
    <w:nsid w:val="33D64EA5"/>
    <w:multiLevelType w:val="hybridMultilevel"/>
    <w:tmpl w:val="15096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1">
    <w:nsid w:val="39E6C550"/>
    <w:multiLevelType w:val="hybridMultilevel"/>
    <w:tmpl w:val="7ECDD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1">
    <w:nsid w:val="3B5E4A1F"/>
    <w:multiLevelType w:val="hybridMultilevel"/>
    <w:tmpl w:val="1D4EA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1081550"/>
    <w:multiLevelType w:val="hybridMultilevel"/>
    <w:tmpl w:val="96189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3310314"/>
    <w:multiLevelType w:val="hybridMultilevel"/>
    <w:tmpl w:val="C8E240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1">
    <w:nsid w:val="55F14D0A"/>
    <w:multiLevelType w:val="hybridMultilevel"/>
    <w:tmpl w:val="39F827F6"/>
    <w:lvl w:ilvl="0" w:tplc="786662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Daxline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9887803"/>
    <w:multiLevelType w:val="hybridMultilevel"/>
    <w:tmpl w:val="0966C9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1">
    <w:nsid w:val="5ACE5AEB"/>
    <w:multiLevelType w:val="hybridMultilevel"/>
    <w:tmpl w:val="B73E39EE"/>
    <w:lvl w:ilvl="0" w:tplc="56EE4A3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DaxlinePro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1">
    <w:nsid w:val="5C317F5D"/>
    <w:multiLevelType w:val="hybridMultilevel"/>
    <w:tmpl w:val="6AAC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17A601B"/>
    <w:multiLevelType w:val="hybridMultilevel"/>
    <w:tmpl w:val="0E1EC5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1">
    <w:nsid w:val="67AE5917"/>
    <w:multiLevelType w:val="hybridMultilevel"/>
    <w:tmpl w:val="B1164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B1E922F"/>
    <w:multiLevelType w:val="hybridMultilevel"/>
    <w:tmpl w:val="BD6F53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1">
    <w:nsid w:val="6B8E70F1"/>
    <w:multiLevelType w:val="hybridMultilevel"/>
    <w:tmpl w:val="DAF6A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BAAB881"/>
    <w:multiLevelType w:val="hybridMultilevel"/>
    <w:tmpl w:val="2777319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1">
    <w:nsid w:val="6FDA807C"/>
    <w:multiLevelType w:val="hybridMultilevel"/>
    <w:tmpl w:val="F4EDCC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1">
    <w:nsid w:val="741637B6"/>
    <w:multiLevelType w:val="hybridMultilevel"/>
    <w:tmpl w:val="FA86728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3"/>
  </w:num>
  <w:num w:numId="8">
    <w:abstractNumId w:val="24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25"/>
  </w:num>
  <w:num w:numId="14">
    <w:abstractNumId w:val="20"/>
  </w:num>
  <w:num w:numId="15">
    <w:abstractNumId w:val="0"/>
  </w:num>
  <w:num w:numId="16">
    <w:abstractNumId w:val="1"/>
  </w:num>
  <w:num w:numId="17">
    <w:abstractNumId w:val="13"/>
  </w:num>
  <w:num w:numId="18">
    <w:abstractNumId w:val="16"/>
  </w:num>
  <w:num w:numId="19">
    <w:abstractNumId w:val="21"/>
  </w:num>
  <w:num w:numId="20">
    <w:abstractNumId w:val="17"/>
  </w:num>
  <w:num w:numId="21">
    <w:abstractNumId w:val="23"/>
  </w:num>
  <w:num w:numId="22">
    <w:abstractNumId w:val="19"/>
  </w:num>
  <w:num w:numId="23">
    <w:abstractNumId w:val="7"/>
  </w:num>
  <w:num w:numId="24">
    <w:abstractNumId w:val="14"/>
  </w:num>
  <w:num w:numId="25">
    <w:abstractNumId w:val="26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84"/>
    <w:rsid w:val="0000782A"/>
    <w:rsid w:val="0003040D"/>
    <w:rsid w:val="00082DF2"/>
    <w:rsid w:val="00111F76"/>
    <w:rsid w:val="001328DB"/>
    <w:rsid w:val="0014335C"/>
    <w:rsid w:val="00145501"/>
    <w:rsid w:val="001C717F"/>
    <w:rsid w:val="00232DE1"/>
    <w:rsid w:val="00252EF1"/>
    <w:rsid w:val="00273523"/>
    <w:rsid w:val="002A354C"/>
    <w:rsid w:val="002B427B"/>
    <w:rsid w:val="00314639"/>
    <w:rsid w:val="00350509"/>
    <w:rsid w:val="00366B3C"/>
    <w:rsid w:val="00366D9B"/>
    <w:rsid w:val="003737DA"/>
    <w:rsid w:val="00381A68"/>
    <w:rsid w:val="003A65D8"/>
    <w:rsid w:val="003A6EE6"/>
    <w:rsid w:val="003B5013"/>
    <w:rsid w:val="003D715A"/>
    <w:rsid w:val="00403E17"/>
    <w:rsid w:val="0049033C"/>
    <w:rsid w:val="004A2B1A"/>
    <w:rsid w:val="004D44A9"/>
    <w:rsid w:val="00554326"/>
    <w:rsid w:val="00565221"/>
    <w:rsid w:val="00583205"/>
    <w:rsid w:val="005A4114"/>
    <w:rsid w:val="005D4D2A"/>
    <w:rsid w:val="005D6B26"/>
    <w:rsid w:val="0064174E"/>
    <w:rsid w:val="006651BA"/>
    <w:rsid w:val="00682191"/>
    <w:rsid w:val="006C6851"/>
    <w:rsid w:val="007124EB"/>
    <w:rsid w:val="0071629E"/>
    <w:rsid w:val="00716F31"/>
    <w:rsid w:val="007A401A"/>
    <w:rsid w:val="008006F8"/>
    <w:rsid w:val="0082024D"/>
    <w:rsid w:val="00837E2D"/>
    <w:rsid w:val="00882E81"/>
    <w:rsid w:val="008E516B"/>
    <w:rsid w:val="00915C05"/>
    <w:rsid w:val="00923ACF"/>
    <w:rsid w:val="00952A7D"/>
    <w:rsid w:val="00982B26"/>
    <w:rsid w:val="00991947"/>
    <w:rsid w:val="009B0329"/>
    <w:rsid w:val="009D3EC8"/>
    <w:rsid w:val="009E7A90"/>
    <w:rsid w:val="00A07995"/>
    <w:rsid w:val="00A72D5A"/>
    <w:rsid w:val="00AB1AD0"/>
    <w:rsid w:val="00B17807"/>
    <w:rsid w:val="00B37D5B"/>
    <w:rsid w:val="00B45B87"/>
    <w:rsid w:val="00C07F34"/>
    <w:rsid w:val="00C40E44"/>
    <w:rsid w:val="00C73284"/>
    <w:rsid w:val="00C75AF4"/>
    <w:rsid w:val="00C9583C"/>
    <w:rsid w:val="00CA77CE"/>
    <w:rsid w:val="00D17BE0"/>
    <w:rsid w:val="00D657A5"/>
    <w:rsid w:val="00D83C7E"/>
    <w:rsid w:val="00D85EC7"/>
    <w:rsid w:val="00D86FF7"/>
    <w:rsid w:val="00DA1CD9"/>
    <w:rsid w:val="00DA4066"/>
    <w:rsid w:val="00DA672D"/>
    <w:rsid w:val="00DC73FA"/>
    <w:rsid w:val="00DF0C30"/>
    <w:rsid w:val="00E12AD5"/>
    <w:rsid w:val="00E12F03"/>
    <w:rsid w:val="00E50382"/>
    <w:rsid w:val="00E51B71"/>
    <w:rsid w:val="00EC4897"/>
    <w:rsid w:val="00EE2C5B"/>
    <w:rsid w:val="00F0273A"/>
    <w:rsid w:val="00F15C38"/>
    <w:rsid w:val="00F50C8D"/>
    <w:rsid w:val="00FA5112"/>
    <w:rsid w:val="00FB3B08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0790C-B3B2-44FC-B49E-E5CEB64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3284"/>
    <w:pPr>
      <w:autoSpaceDE w:val="0"/>
      <w:autoSpaceDN w:val="0"/>
      <w:adjustRightInd w:val="0"/>
    </w:pPr>
    <w:rPr>
      <w:rFonts w:ascii="DaxlinePro" w:hAnsi="DaxlinePro" w:cs="DaxlinePro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C73284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C73284"/>
    <w:pPr>
      <w:spacing w:line="181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C73284"/>
    <w:pPr>
      <w:spacing w:line="18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C73284"/>
    <w:rPr>
      <w:rFonts w:cs="DaxlinePro"/>
      <w:color w:val="000000"/>
      <w:sz w:val="10"/>
      <w:szCs w:val="10"/>
    </w:rPr>
  </w:style>
  <w:style w:type="paragraph" w:customStyle="1" w:styleId="Pa30">
    <w:name w:val="Pa30"/>
    <w:basedOn w:val="Default"/>
    <w:next w:val="Default"/>
    <w:uiPriority w:val="99"/>
    <w:rsid w:val="00C73284"/>
    <w:pPr>
      <w:spacing w:line="1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C7328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C73284"/>
    <w:rPr>
      <w:rFonts w:cs="DaxlinePro"/>
      <w:color w:val="000000"/>
      <w:sz w:val="16"/>
      <w:szCs w:val="16"/>
    </w:rPr>
  </w:style>
  <w:style w:type="paragraph" w:customStyle="1" w:styleId="Pa32">
    <w:name w:val="Pa32"/>
    <w:basedOn w:val="Default"/>
    <w:next w:val="Default"/>
    <w:uiPriority w:val="99"/>
    <w:rsid w:val="00C73284"/>
    <w:pPr>
      <w:spacing w:line="18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C73284"/>
    <w:pPr>
      <w:spacing w:line="22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C73284"/>
    <w:rPr>
      <w:rFonts w:cs="DaxlinePro"/>
      <w:color w:val="000000"/>
      <w:sz w:val="18"/>
      <w:szCs w:val="18"/>
    </w:rPr>
  </w:style>
  <w:style w:type="paragraph" w:customStyle="1" w:styleId="Pa33">
    <w:name w:val="Pa33"/>
    <w:basedOn w:val="Default"/>
    <w:next w:val="Default"/>
    <w:uiPriority w:val="99"/>
    <w:rsid w:val="00C73284"/>
    <w:pPr>
      <w:spacing w:line="18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E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CDB32290</Template>
  <TotalTime>4</TotalTime>
  <Pages>2</Pages>
  <Words>895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Trechová Jana</cp:lastModifiedBy>
  <cp:revision>4</cp:revision>
  <cp:lastPrinted>2016-09-23T13:05:00Z</cp:lastPrinted>
  <dcterms:created xsi:type="dcterms:W3CDTF">2019-09-10T11:27:00Z</dcterms:created>
  <dcterms:modified xsi:type="dcterms:W3CDTF">2019-09-10T11:30:00Z</dcterms:modified>
</cp:coreProperties>
</file>